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99.png" ContentType="image/png"/>
  <Override PartName="/word/media/image98.png" ContentType="image/png"/>
  <Override PartName="/word/media/image97.png" ContentType="image/png"/>
  <Override PartName="/word/media/image46.png" ContentType="image/png"/>
  <Override PartName="/word/media/image45.png" ContentType="image/png"/>
  <Override PartName="/word/media/image44.png" ContentType="image/png"/>
  <Override PartName="/word/media/image43.png" ContentType="image/png"/>
  <Override PartName="/word/media/image42.png" ContentType="image/png"/>
  <Override PartName="/word/media/image41.png" ContentType="image/png"/>
  <Override PartName="/word/media/image40.png" ContentType="image/png"/>
  <Override PartName="/word/media/image35.png" ContentType="image/png"/>
  <Override PartName="/word/media/image34.png" ContentType="image/png"/>
  <Override PartName="/word/media/image33.png" ContentType="image/png"/>
  <Override PartName="/word/media/image32.png" ContentType="image/png"/>
  <Override PartName="/word/media/image31.png" ContentType="image/png"/>
  <Override PartName="/word/media/image30.png" ContentType="image/png"/>
  <Override PartName="/word/media/image89.png" ContentType="image/png"/>
  <Override PartName="/word/media/image29.png" ContentType="image/png"/>
  <Override PartName="/word/media/image28.png" ContentType="image/png"/>
  <Override PartName="/word/media/image27.png" ContentType="image/png"/>
  <Override PartName="/word/media/image26.png" ContentType="image/png"/>
  <Override PartName="/word/media/image25.png" ContentType="image/png"/>
  <Override PartName="/word/media/image24.png" ContentType="image/png"/>
  <Override PartName="/word/media/image59.png" ContentType="image/png"/>
  <Override PartName="/word/media/image10.png" ContentType="image/png"/>
  <Override PartName="/word/media/image69.png" ContentType="image/png"/>
  <Override PartName="/word/media/image23.png" ContentType="image/png"/>
  <Override PartName="/word/media/image58.png" ContentType="image/png"/>
  <Override PartName="/word/media/image36.png" ContentType="image/png"/>
  <Override PartName="/word/media/image1.png" ContentType="image/png"/>
  <Override PartName="/word/media/image51.png" ContentType="image/png"/>
  <Override PartName="/word/media/image56.png" ContentType="image/png"/>
  <Override PartName="/word/media/image21.png" ContentType="image/png"/>
  <Override PartName="/word/media/image37.png" ContentType="image/png"/>
  <Override PartName="/word/media/image2.png" ContentType="image/png"/>
  <Override PartName="/word/media/image52.png" ContentType="image/png"/>
  <Override PartName="/word/media/image57.png" ContentType="image/png"/>
  <Override PartName="/word/media/image22.png" ContentType="image/png"/>
  <Override PartName="/word/media/image38.png" ContentType="image/png"/>
  <Override PartName="/word/media/image3.png" ContentType="image/png"/>
  <Override PartName="/word/media/image53.png" ContentType="image/png"/>
  <Override PartName="/word/media/image39.png" ContentType="image/png"/>
  <Override PartName="/word/media/image4.png" ContentType="image/png"/>
  <Override PartName="/word/media/image54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6.png" ContentType="image/png"/>
  <Override PartName="/word/media/image91.png" ContentType="image/png"/>
  <Override PartName="/word/media/image17.png" ContentType="image/png"/>
  <Override PartName="/word/media/image7.png" ContentType="image/png"/>
  <Override PartName="/word/media/image92.png" ContentType="image/png"/>
  <Override PartName="/word/media/image18.png" ContentType="image/png"/>
  <Override PartName="/word/media/image8.png" ContentType="image/png"/>
  <Override PartName="/word/media/image93.png" ContentType="image/png"/>
  <Override PartName="/word/media/image19.png" ContentType="image/png"/>
  <Override PartName="/word/media/image9.png" ContentType="image/png"/>
  <Override PartName="/word/media/image94.png" ContentType="image/png"/>
  <Override PartName="/word/media/image90.png" ContentType="image/png"/>
  <Override PartName="/word/media/image5.png" ContentType="image/png"/>
  <Override PartName="/word/media/image55.png" ContentType="image/png"/>
  <Override PartName="/word/media/image20.png" ContentType="image/png"/>
  <Override PartName="/word/media/image79.png" ContentType="image/png"/>
  <Override PartName="/word/media/image47.png" ContentType="image/png"/>
  <Override PartName="/word/media/image48.png" ContentType="image/png"/>
  <Override PartName="/word/media/image49.png" ContentType="image/png"/>
  <Override PartName="/word/media/image50.png" ContentType="image/png"/>
  <Override PartName="/word/media/image60.png" ContentType="image/png"/>
  <Override PartName="/word/media/image61.png" ContentType="image/png"/>
  <Override PartName="/word/media/image62.png" ContentType="image/png"/>
  <Override PartName="/word/media/image63.png" ContentType="image/png"/>
  <Override PartName="/word/media/image64.png" ContentType="image/png"/>
  <Override PartName="/word/media/image65.png" ContentType="image/png"/>
  <Override PartName="/word/media/image66.png" ContentType="image/png"/>
  <Override PartName="/word/media/image67.png" ContentType="image/png"/>
  <Override PartName="/word/media/image68.png" ContentType="image/png"/>
  <Override PartName="/word/media/image70.png" ContentType="image/png"/>
  <Override PartName="/word/media/image71.png" ContentType="image/png"/>
  <Override PartName="/word/media/image72.png" ContentType="image/png"/>
  <Override PartName="/word/media/image73.png" ContentType="image/png"/>
  <Override PartName="/word/media/image74.png" ContentType="image/png"/>
  <Override PartName="/word/media/image75.png" ContentType="image/png"/>
  <Override PartName="/word/media/image76.png" ContentType="image/png"/>
  <Override PartName="/word/media/image77.png" ContentType="image/png"/>
  <Override PartName="/word/media/image78.png" ContentType="image/png"/>
  <Override PartName="/word/media/image80.png" ContentType="image/png"/>
  <Override PartName="/word/media/image81.png" ContentType="image/png"/>
  <Override PartName="/word/media/image82.png" ContentType="image/png"/>
  <Override PartName="/word/media/image83.png" ContentType="image/png"/>
  <Override PartName="/word/media/image84.png" ContentType="image/png"/>
  <Override PartName="/word/media/image85.png" ContentType="image/png"/>
  <Override PartName="/word/media/image86.png" ContentType="image/png"/>
  <Override PartName="/word/media/image87.png" ContentType="image/png"/>
  <Override PartName="/word/media/image88.png" ContentType="image/png"/>
  <Override PartName="/word/media/image95.png" ContentType="image/png"/>
  <Override PartName="/word/media/image96.png" ContentType="image/pn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70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101"/>
        <w:gridCol w:w="2501"/>
        <w:gridCol w:w="333"/>
        <w:gridCol w:w="2623"/>
        <w:gridCol w:w="2312"/>
      </w:tblGrid>
      <w:tr>
        <w:trPr/>
        <w:tc>
          <w:tcPr>
            <w:tcW w:w="4602" w:type="dxa"/>
            <w:gridSpan w:val="2"/>
            <w:tcBorders/>
            <w:shd w:fill="auto" w:val="clear"/>
          </w:tcPr>
          <w:p>
            <w:pPr>
              <w:pStyle w:val="Normal"/>
              <w:spacing w:before="0" w:after="60"/>
              <w:jc w:val="both"/>
              <w:rPr>
                <w:rFonts w:ascii="Times New Roman" w:hAnsi="Times New Roman" w:eastAsia="Times New Roman" w:cs="Times New Roman"/>
                <w:b/>
                <w:b/>
                <w:caps/>
                <w:sz w:val="32"/>
                <w:szCs w:val="3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sz w:val="32"/>
                <w:szCs w:val="32"/>
                <w:lang w:eastAsia="zh-CN"/>
              </w:rPr>
              <w:t>«УТВЕРЖДАЮ»</w:t>
            </w:r>
          </w:p>
        </w:tc>
        <w:tc>
          <w:tcPr>
            <w:tcW w:w="333" w:type="dxa"/>
            <w:tcBorders/>
            <w:shd w:fill="auto" w:val="clear"/>
          </w:tcPr>
          <w:p>
            <w:pPr>
              <w:pStyle w:val="Normal"/>
              <w:spacing w:before="0" w:after="60"/>
              <w:jc w:val="both"/>
              <w:rPr>
                <w:rFonts w:ascii="Times New Roman" w:hAnsi="Times New Roman" w:eastAsia="Times New Roman" w:cs="Times New Roman"/>
                <w:b/>
                <w:b/>
                <w:caps/>
                <w:sz w:val="32"/>
                <w:szCs w:val="3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sz w:val="32"/>
                <w:szCs w:val="32"/>
                <w:lang w:eastAsia="zh-CN"/>
              </w:rPr>
            </w:r>
          </w:p>
        </w:tc>
        <w:tc>
          <w:tcPr>
            <w:tcW w:w="4935" w:type="dxa"/>
            <w:gridSpan w:val="2"/>
            <w:tcBorders/>
            <w:shd w:fill="auto" w:val="clear"/>
          </w:tcPr>
          <w:p>
            <w:pPr>
              <w:pStyle w:val="Normal"/>
              <w:spacing w:before="0" w:after="60"/>
              <w:jc w:val="both"/>
              <w:rPr>
                <w:rFonts w:ascii="Times New Roman" w:hAnsi="Times New Roman" w:eastAsia="Times New Roman" w:cs="Times New Roman"/>
                <w:b/>
                <w:b/>
                <w:caps/>
                <w:sz w:val="32"/>
                <w:szCs w:val="3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sz w:val="32"/>
                <w:szCs w:val="32"/>
                <w:lang w:eastAsia="zh-CN"/>
              </w:rPr>
              <w:t>«УТВЕРЖДАЮ»</w:t>
            </w:r>
          </w:p>
        </w:tc>
      </w:tr>
      <w:tr>
        <w:trPr/>
        <w:tc>
          <w:tcPr>
            <w:tcW w:w="46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7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4"/>
                <w:lang w:eastAsia="zh-CN"/>
              </w:rPr>
              <w:t xml:space="preserve">Директор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4"/>
                <w:lang w:eastAsia="zh-CN"/>
              </w:rPr>
              <w:t>Федерального государственного бюджетного учреждения «Центр информационно-технологической и эксплуатационной поддержки» Министерства здравоохранения Российской Федерации</w:t>
            </w:r>
          </w:p>
        </w:tc>
        <w:tc>
          <w:tcPr>
            <w:tcW w:w="333" w:type="dxa"/>
            <w:tcBorders/>
            <w:shd w:fill="auto" w:val="clear"/>
          </w:tcPr>
          <w:p>
            <w:pPr>
              <w:pStyle w:val="Normal"/>
              <w:spacing w:lineRule="auto" w:line="240" w:before="6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49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7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4"/>
                <w:lang w:eastAsia="zh-CN"/>
              </w:rPr>
              <w:t>Генеральный директор Общества с ограниченной ответственностью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4"/>
                <w:lang w:eastAsia="zh-CN"/>
              </w:rPr>
              <w:t>«НитросДэйта Рус»</w:t>
            </w:r>
          </w:p>
        </w:tc>
      </w:tr>
      <w:tr>
        <w:trPr>
          <w:trHeight w:val="602" w:hRule="atLeast"/>
        </w:trPr>
        <w:tc>
          <w:tcPr>
            <w:tcW w:w="210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before="240" w:after="120"/>
              <w:rPr>
                <w:rFonts w:ascii="Times New Roman" w:hAnsi="Times New Roman" w:eastAsia="Times New Roman" w:cs="Times New Roman"/>
                <w:b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7"/>
                <w:szCs w:val="27"/>
                <w:lang w:eastAsia="ru-RU"/>
              </w:rPr>
            </w:r>
          </w:p>
          <w:p>
            <w:pPr>
              <w:pStyle w:val="Normal"/>
              <w:spacing w:before="240" w:after="120"/>
              <w:rPr>
                <w:rFonts w:ascii="Times New Roman" w:hAnsi="Times New Roman" w:eastAsia="Times New Roman" w:cs="Times New Roman"/>
                <w:b/>
                <w:b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7"/>
                <w:szCs w:val="27"/>
                <w:lang w:eastAsia="ru-RU"/>
              </w:rPr>
            </w:r>
          </w:p>
        </w:tc>
        <w:tc>
          <w:tcPr>
            <w:tcW w:w="2501" w:type="dxa"/>
            <w:tcBorders/>
            <w:shd w:fill="auto" w:val="clear"/>
            <w:vAlign w:val="bottom"/>
          </w:tcPr>
          <w:p>
            <w:pPr>
              <w:pStyle w:val="Normal"/>
              <w:spacing w:before="240" w:after="12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В.Р. Бурашников</w:t>
            </w:r>
          </w:p>
        </w:tc>
        <w:tc>
          <w:tcPr>
            <w:tcW w:w="333" w:type="dxa"/>
            <w:tcBorders/>
            <w:shd w:fill="auto" w:val="clear"/>
          </w:tcPr>
          <w:p>
            <w:pPr>
              <w:pStyle w:val="Normal"/>
              <w:spacing w:before="240" w:after="12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2623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before="240" w:after="12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2312" w:type="dxa"/>
            <w:tcBorders/>
            <w:shd w:fill="auto" w:val="clear"/>
            <w:vAlign w:val="bottom"/>
          </w:tcPr>
          <w:p>
            <w:pPr>
              <w:pStyle w:val="Normal"/>
              <w:spacing w:before="240" w:after="12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В.А. Чернов</w:t>
            </w:r>
          </w:p>
        </w:tc>
      </w:tr>
      <w:tr>
        <w:trPr>
          <w:trHeight w:val="577" w:hRule="atLeast"/>
        </w:trPr>
        <w:tc>
          <w:tcPr>
            <w:tcW w:w="460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before="240" w:after="60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«____»____________________2018 г.</w:t>
            </w:r>
          </w:p>
        </w:tc>
        <w:tc>
          <w:tcPr>
            <w:tcW w:w="333" w:type="dxa"/>
            <w:tcBorders/>
            <w:shd w:fill="auto" w:val="clear"/>
            <w:vAlign w:val="center"/>
          </w:tcPr>
          <w:p>
            <w:pPr>
              <w:pStyle w:val="Normal"/>
              <w:spacing w:before="240" w:after="60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</w:r>
          </w:p>
        </w:tc>
        <w:tc>
          <w:tcPr>
            <w:tcW w:w="49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before="240" w:after="60"/>
              <w:rPr>
                <w:rFonts w:ascii="Times New Roman" w:hAnsi="Times New Roman" w:eastAsia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7"/>
                <w:szCs w:val="27"/>
                <w:lang w:eastAsia="ru-RU"/>
              </w:rPr>
              <w:t>«____»_______________________2018 г.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caps/>
          <w:sz w:val="27"/>
          <w:szCs w:val="27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="Times New Roman" w:ascii="Times New Roman" w:hAnsi="Times New Roman"/>
          <w:caps/>
          <w:sz w:val="27"/>
          <w:szCs w:val="27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caps/>
          <w:sz w:val="27"/>
          <w:szCs w:val="27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="Times New Roman" w:ascii="Times New Roman" w:hAnsi="Times New Roman"/>
          <w:caps/>
          <w:sz w:val="27"/>
          <w:szCs w:val="27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caps/>
          <w:sz w:val="27"/>
          <w:szCs w:val="27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Start w:id="1" w:name="_GoBack"/>
      <w:bookmarkEnd w:id="1"/>
      <w:r>
        <w:rPr>
          <w:rFonts w:eastAsia="Times New Roman" w:cs="Times New Roman" w:ascii="Times New Roman" w:hAnsi="Times New Roman"/>
          <w:caps/>
          <w:sz w:val="27"/>
          <w:szCs w:val="27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  <w:t xml:space="preserve">ИНФОРМАЦИОННО-АНАЛИТИЧЕСКАЯ СИСТЕМА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  <w:t>«МОНИТОРИНГ НЕЗАВИСИМОЙ ОЦЕНКИ КАЧЕСТВА ОКАЗАНИЯ УСЛУГ МЕДИЦИНСКИМИ ОРГАНИЗАЦИЯМИ»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  <w:t>Мониторинг НОК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7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4"/>
          <w:lang w:eastAsia="ru-RU"/>
        </w:rPr>
        <w:t>РУКОВОДСТВО пользователя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ap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7"/>
          <w:szCs w:val="27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cap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aps/>
          <w:sz w:val="20"/>
          <w:szCs w:val="20"/>
          <w:lang w:eastAsia="ru-RU"/>
        </w:rPr>
        <w:t>66989886.425730.024. И3.02</w:t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fldChar w:fldCharType="begin"/>
      </w:r>
      <w:r>
        <w:instrText> NUMPAGES \* ARABIC </w:instrText>
      </w:r>
      <w:r>
        <w:fldChar w:fldCharType="separate"/>
      </w:r>
      <w:r>
        <w:t>50</w:t>
      </w:r>
      <w:r>
        <w:fldChar w:fldCharType="end"/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листах</w:t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Москва, 2018 г.</w:t>
      </w:r>
      <w:r>
        <w:br w:type="page"/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АННОТАЦИЯ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Руководство пользователя описывает порядок работы конечных пользователей с Информационно-аналитической системой «Мониторинг независимой оценки качества оказания услуг медицинскими организациями» (далее – Системой). В руководстве описаны функции Системы, доступные пользователям – лицам, участвующим в функционировании Системы или использующим результаты её функционирования.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Инструкция зарегистрированного пользователя разработано в рамках выполнения работ по разработке и сопровождению информационно-аналитической системы «Мониторинг независимой оценки качества оказания услуг медицинскими организациями» в рамках работ по Гражданско-правовому договору бюджетного учреждения от «16» октября 2017 г. №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029/ЦИТЭП/17 на выполнение работ по развитию и сопровождению Информационно-аналитической системы «Мониторинг независимой оценки качества оказания услуг медицинскими организациями».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Настоящий документ разработан в соответствии с РД 50-34.698-90 «Автоматизированные системы. Требования к содержанию документов».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footerReference w:type="default" r:id="rId2"/>
          <w:type w:val="nextPage"/>
          <w:pgSz w:w="11906" w:h="16838"/>
          <w:pgMar w:left="1134" w:right="566" w:header="0" w:top="1134" w:footer="708" w:bottom="1134" w:gutter="0"/>
          <w:pgNumType w:fmt="decimal"/>
          <w:formProt w:val="false"/>
          <w:titlePg/>
          <w:textDirection w:val="lrTb"/>
          <w:docGrid w:type="default" w:linePitch="360" w:charSpace="4294965247"/>
        </w:sectPr>
        <w:pStyle w:val="Normal"/>
        <w:rPr/>
      </w:pPr>
      <w:r>
        <w:rPr/>
      </w:r>
    </w:p>
    <w:p>
      <w:pPr>
        <w:pStyle w:val="12"/>
        <w:rPr/>
      </w:pPr>
      <w:r>
        <w:rPr/>
        <w:t>СОДЕРЖАНИЕ</w:t>
      </w:r>
    </w:p>
    <w:p>
      <w:pPr>
        <w:pStyle w:val="12"/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fldChar w:fldCharType="begin"/>
      </w:r>
      <w:r>
        <w:instrText> TOC \z \o "1-3" \u \h</w:instrText>
      </w:r>
      <w:r>
        <w:fldChar w:fldCharType="separate"/>
      </w:r>
      <w:hyperlink w:anchor="_Toc507529890">
        <w:r>
          <w:rPr>
            <w:webHidden/>
            <w:rStyle w:val="Style20"/>
            <w:rFonts w:eastAsia="" w:eastAsiaTheme="majorEastAsia"/>
          </w:rPr>
          <w:t>1 ВВЕДЕНИЕ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_Toc507529890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5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1">
        <w:r>
          <w:rPr>
            <w:webHidden/>
            <w:rStyle w:val="Style20"/>
            <w:rFonts w:eastAsia="" w:eastAsiaTheme="majorEastAsia"/>
          </w:rPr>
          <w:t>1.1 Область применения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_Toc507529891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5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2">
        <w:r>
          <w:rPr>
            <w:webHidden/>
            <w:rStyle w:val="Style20"/>
            <w:rFonts w:eastAsia="" w:eastAsiaTheme="majorEastAsia"/>
          </w:rPr>
          <w:t>1.2 Краткое описание возможностей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_Toc507529892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5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3">
        <w:r>
          <w:rPr>
            <w:webHidden/>
            <w:rStyle w:val="Style20"/>
            <w:rFonts w:eastAsia="" w:eastAsiaTheme="majorEastAsia"/>
          </w:rPr>
          <w:t>1.3 Уровень подготовки пользователя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_Toc507529893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6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4">
        <w:r>
          <w:rPr>
            <w:webHidden/>
            <w:rStyle w:val="Style20"/>
            <w:rFonts w:eastAsia="" w:eastAsiaTheme="majorEastAsia"/>
          </w:rPr>
          <w:t>1.4 Перечень эксплуатационной документации, с которой необходимо ознакомиться пользователю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_Toc507529894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7</w:t>
        </w:r>
        <w:r>
          <w:rPr>
            <w:webHidden/>
          </w:rPr>
          <w:fldChar w:fldCharType="end"/>
        </w:r>
      </w:hyperlink>
    </w:p>
    <w:p>
      <w:pPr>
        <w:pStyle w:val="12"/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hyperlink w:anchor="_Toc507529895">
        <w:r>
          <w:rPr>
            <w:webHidden/>
            <w:rStyle w:val="Style20"/>
            <w:rFonts w:eastAsia="" w:eastAsiaTheme="majorEastAsia"/>
          </w:rPr>
          <w:t>2 НАЗНАЧЕНИЕ И УСЛОВИЯ ПРИМЕНЕНИЯ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_Toc507529895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8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6">
        <w:r>
          <w:rPr>
            <w:webHidden/>
            <w:rStyle w:val="Style20"/>
            <w:rFonts w:eastAsia="" w:eastAsiaTheme="majorEastAsia"/>
          </w:rPr>
          <w:t>2.1 Условия, при соблюдении которых обеспечивается применение Системы в соответствии с назначением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_Toc507529896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9</w:t>
        </w:r>
        <w:r>
          <w:rPr>
            <w:webHidden/>
          </w:rPr>
          <w:fldChar w:fldCharType="end"/>
        </w:r>
      </w:hyperlink>
    </w:p>
    <w:p>
      <w:pPr>
        <w:pStyle w:val="12"/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hyperlink w:anchor="_Toc507529897">
        <w:r>
          <w:rPr>
            <w:webHidden/>
            <w:rStyle w:val="Style20"/>
            <w:rFonts w:eastAsia="" w:eastAsiaTheme="majorEastAsia"/>
          </w:rPr>
          <w:t>3 ПОДГОТОВКА К РАБОТЕ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_Toc507529897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10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8">
        <w:r>
          <w:rPr>
            <w:webHidden/>
            <w:rStyle w:val="Style20"/>
            <w:rFonts w:eastAsia="" w:eastAsiaTheme="majorEastAsia"/>
          </w:rPr>
          <w:t>3.1 Состав и содержание дистрибутивного носителя данных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_Toc507529898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10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899">
        <w:r>
          <w:rPr>
            <w:webHidden/>
            <w:rStyle w:val="Style20"/>
            <w:rFonts w:eastAsia="" w:eastAsiaTheme="majorEastAsia"/>
          </w:rPr>
          <w:t>3.2 Порядок загрузки данных и программ</w:t>
        </w:r>
        <w:r>
          <w:rPr>
            <w:webHidden/>
          </w:rPr>
          <w:fldChar w:fldCharType="begin"/>
        </w:r>
        <w:r>
          <w:rPr>
            <w:webHidden/>
          </w:rPr>
          <w:instrText>PAGEREF _Toc507529899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10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00">
        <w:r>
          <w:rPr>
            <w:webHidden/>
            <w:rStyle w:val="Style20"/>
            <w:rFonts w:eastAsia="" w:eastAsiaTheme="majorEastAsia"/>
          </w:rPr>
          <w:t>3.3 Порядок проверки работоспособности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_Toc507529900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10</w:t>
        </w:r>
        <w:r>
          <w:rPr>
            <w:webHidden/>
          </w:rPr>
          <w:fldChar w:fldCharType="end"/>
        </w:r>
      </w:hyperlink>
    </w:p>
    <w:p>
      <w:pPr>
        <w:pStyle w:val="12"/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hyperlink w:anchor="_Toc507529901">
        <w:r>
          <w:rPr>
            <w:webHidden/>
            <w:rStyle w:val="Style20"/>
            <w:rFonts w:eastAsia="" w:eastAsiaTheme="majorEastAsia"/>
          </w:rPr>
          <w:t>4 ОПИСАНИЕ ОПЕРАЦИЙ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_Toc507529901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12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02">
        <w:r>
          <w:rPr>
            <w:webHidden/>
            <w:rStyle w:val="Style20"/>
            <w:rFonts w:eastAsia="" w:eastAsiaTheme="majorEastAsia"/>
          </w:rPr>
          <w:t>4.1 Личный кабинет медицинской организации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_Toc507529902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12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3">
        <w:r>
          <w:rPr>
            <w:webHidden/>
            <w:rStyle w:val="Style20"/>
            <w:rFonts w:eastAsia="" w:eastAsiaTheme="majorEastAsia"/>
          </w:rPr>
          <w:t>4.1.1 Вход и авторизация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_Toc507529903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12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4">
        <w:r>
          <w:rPr>
            <w:webHidden/>
            <w:rStyle w:val="Style20"/>
            <w:rFonts w:eastAsia="" w:eastAsiaTheme="majorEastAsia"/>
          </w:rPr>
          <w:t>4.1.2 Главная страница Личного кабинета медицинской организации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_Toc507529904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14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5">
        <w:r>
          <w:rPr>
            <w:webHidden/>
            <w:rStyle w:val="Style20"/>
            <w:rFonts w:eastAsia="" w:eastAsiaTheme="majorEastAsia"/>
          </w:rPr>
          <w:t>4.1.3 Ввод текстовой информации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_Toc507529905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14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6">
        <w:r>
          <w:rPr>
            <w:webHidden/>
            <w:rStyle w:val="Style20"/>
            <w:rFonts w:eastAsia="" w:eastAsiaTheme="majorEastAsia"/>
          </w:rPr>
          <w:t>4.1.4 Загрузка документа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_Toc507529906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16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7">
        <w:r>
          <w:rPr>
            <w:webHidden/>
            <w:rStyle w:val="Style20"/>
            <w:rFonts w:eastAsia="" w:eastAsiaTheme="majorEastAsia"/>
          </w:rPr>
          <w:t>4.1.5 Пункт меню «Получить баннер»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_Toc507529907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17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8">
        <w:r>
          <w:rPr>
            <w:webHidden/>
            <w:rStyle w:val="Style20"/>
            <w:rFonts w:eastAsia="" w:eastAsiaTheme="majorEastAsia"/>
          </w:rPr>
          <w:t>4.1.6 Пункт меню «Медицинские работники»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_Toc507529908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17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09">
        <w:r>
          <w:rPr>
            <w:webHidden/>
            <w:rStyle w:val="Style20"/>
            <w:rFonts w:eastAsia="" w:eastAsiaTheme="majorEastAsia"/>
          </w:rPr>
          <w:t>4.1.7 Просмотр информации, размещаемой на сайте медицинской организации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_Toc507529909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18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0">
        <w:r>
          <w:rPr>
            <w:webHidden/>
            <w:rStyle w:val="Style20"/>
            <w:rFonts w:eastAsia="" w:eastAsiaTheme="majorEastAsia"/>
          </w:rPr>
          <w:t>4.1.8 Сохранение информации в личном кабинете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_Toc507529910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19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11">
        <w:r>
          <w:rPr>
            <w:webHidden/>
            <w:rStyle w:val="Style20"/>
            <w:rFonts w:eastAsia="" w:eastAsiaTheme="majorEastAsia"/>
          </w:rPr>
          <w:t>4.2</w:t>
        </w:r>
        <w:r>
          <w:rPr>
            <w:rStyle w:val="Style20"/>
            <w:rFonts w:eastAsia="" w:eastAsiaTheme="majorEastAsia"/>
            <w:shd w:fill="FFFFFF" w:val="clear"/>
          </w:rPr>
          <w:t xml:space="preserve"> Личный кабинет органа государственной власти (ОГВ)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_Toc507529911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19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2">
        <w:r>
          <w:rPr>
            <w:webHidden/>
            <w:rStyle w:val="Style20"/>
            <w:rFonts w:eastAsia="" w:eastAsiaTheme="majorEastAsia"/>
          </w:rPr>
          <w:t>4.2.1 Вход и авторизация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_Toc507529912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19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3">
        <w:r>
          <w:rPr>
            <w:webHidden/>
            <w:rStyle w:val="Style20"/>
            <w:rFonts w:eastAsia="" w:eastAsiaTheme="majorEastAsia"/>
          </w:rPr>
          <w:t>4.2.2 Главная страница Личного кабинета ОГВ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_Toc507529913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21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4">
        <w:r>
          <w:rPr>
            <w:webHidden/>
            <w:rStyle w:val="Style20"/>
            <w:rFonts w:eastAsia="" w:eastAsiaTheme="majorEastAsia"/>
          </w:rPr>
          <w:t>4.2.3 Раздел «Результаты анкетирования»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_Toc507529914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22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5">
        <w:r>
          <w:rPr>
            <w:webHidden/>
            <w:rStyle w:val="Style20"/>
            <w:rFonts w:eastAsia="" w:eastAsiaTheme="majorEastAsia"/>
          </w:rPr>
          <w:t>4.2.4 Раздел «Администрирование»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_Toc507529915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22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6">
        <w:r>
          <w:rPr>
            <w:webHidden/>
            <w:rStyle w:val="Style20"/>
            <w:rFonts w:eastAsia="" w:eastAsiaTheme="majorEastAsia"/>
          </w:rPr>
          <w:t>4.2.5 Ввод текстовой информации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_Toc507529916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23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7">
        <w:r>
          <w:rPr>
            <w:webHidden/>
            <w:rStyle w:val="Style20"/>
            <w:rFonts w:eastAsia="" w:eastAsiaTheme="majorEastAsia"/>
          </w:rPr>
          <w:t>4.2.6 Загрузка документа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_Toc507529917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23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18">
        <w:r>
          <w:rPr>
            <w:webHidden/>
            <w:rStyle w:val="Style20"/>
            <w:rFonts w:eastAsia="" w:eastAsiaTheme="majorEastAsia"/>
          </w:rPr>
          <w:t>4.3 Личный кабинет сотрудника Минздрава РФ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_Toc507529918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23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19">
        <w:r>
          <w:rPr>
            <w:webHidden/>
            <w:rStyle w:val="Style20"/>
            <w:rFonts w:eastAsia="" w:eastAsiaTheme="majorEastAsia"/>
          </w:rPr>
          <w:t>4.3.1 Вход и авторизация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_Toc507529919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23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0">
        <w:r>
          <w:rPr>
            <w:webHidden/>
            <w:rStyle w:val="Style20"/>
            <w:rFonts w:eastAsia="" w:eastAsiaTheme="majorEastAsia"/>
          </w:rPr>
          <w:t>4.3.2 Главная страница Личного кабинета сотрудника Минздрава РФ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_Toc507529920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24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1">
        <w:r>
          <w:rPr>
            <w:webHidden/>
            <w:rStyle w:val="Style20"/>
            <w:rFonts w:eastAsia="" w:eastAsiaTheme="majorEastAsia"/>
          </w:rPr>
          <w:t>4.3.1 Раздел «Результаты анкетирования»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_Toc507529921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25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2">
        <w:r>
          <w:rPr>
            <w:webHidden/>
            <w:rStyle w:val="Style20"/>
            <w:rFonts w:eastAsia="" w:eastAsiaTheme="majorEastAsia"/>
          </w:rPr>
          <w:t>4.3.2 Раздел «Администрирование»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_Toc507529922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25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3">
        <w:r>
          <w:rPr>
            <w:webHidden/>
            <w:rStyle w:val="Style20"/>
            <w:rFonts w:eastAsia="" w:eastAsiaTheme="majorEastAsia"/>
          </w:rPr>
          <w:t>4.3.3 Ввод текстовой информации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_Toc507529923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26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4">
        <w:r>
          <w:rPr>
            <w:webHidden/>
            <w:rStyle w:val="Style20"/>
            <w:rFonts w:eastAsia="" w:eastAsiaTheme="majorEastAsia"/>
          </w:rPr>
          <w:t>4.3.4 Загрузка документа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_Toc507529924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26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25">
        <w:r>
          <w:rPr>
            <w:webHidden/>
            <w:rStyle w:val="Style20"/>
            <w:rFonts w:eastAsia="" w:eastAsiaTheme="majorEastAsia"/>
          </w:rPr>
          <w:t>4.4 Просмотр витрины данных независимой оценки качества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_Toc507529925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26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6">
        <w:r>
          <w:rPr>
            <w:webHidden/>
            <w:rStyle w:val="Style20"/>
            <w:rFonts w:eastAsia="" w:eastAsiaTheme="majorEastAsia"/>
          </w:rPr>
          <w:t>4.4.1 Главная страница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_Toc507529926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26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7">
        <w:r>
          <w:rPr>
            <w:webHidden/>
            <w:rStyle w:val="Style20"/>
            <w:rFonts w:eastAsia="" w:eastAsiaTheme="majorEastAsia"/>
          </w:rPr>
          <w:t>4.4.2 Страница списка медицинских организаций региона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_Toc507529927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28</w:t>
        </w:r>
        <w:r>
          <w:rPr>
            <w:webHidden/>
          </w:rPr>
          <w:fldChar w:fldCharType="end"/>
        </w:r>
      </w:hyperlink>
    </w:p>
    <w:p>
      <w:pPr>
        <w:pStyle w:val="3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iCs w:val="false"/>
          <w:sz w:val="22"/>
          <w:szCs w:val="22"/>
        </w:rPr>
      </w:pPr>
      <w:hyperlink w:anchor="_Toc507529928">
        <w:r>
          <w:rPr>
            <w:webHidden/>
            <w:rStyle w:val="Style20"/>
            <w:rFonts w:eastAsia="" w:eastAsiaTheme="majorEastAsia"/>
          </w:rPr>
          <w:t xml:space="preserve">4.4.3 Выгрузка результатов НОК в файл </w:t>
        </w:r>
        <w:r>
          <w:rPr>
            <w:rStyle w:val="Style20"/>
            <w:rFonts w:eastAsia="" w:eastAsiaTheme="majorEastAsia"/>
            <w:lang w:val="en-US"/>
          </w:rPr>
          <w:t>Excel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_Toc507529928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32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29">
        <w:r>
          <w:rPr>
            <w:webHidden/>
            <w:rStyle w:val="Style20"/>
            <w:rFonts w:eastAsia="" w:eastAsiaTheme="majorEastAsia"/>
          </w:rPr>
          <w:t>4.5 Выход и закрытие приложения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_Toc507529929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33</w:t>
        </w:r>
        <w:r>
          <w:rPr>
            <w:webHidden/>
          </w:rPr>
          <w:fldChar w:fldCharType="end"/>
        </w:r>
      </w:hyperlink>
    </w:p>
    <w:p>
      <w:pPr>
        <w:pStyle w:val="12"/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hyperlink w:anchor="_Toc507529930">
        <w:r>
          <w:rPr>
            <w:webHidden/>
            <w:rStyle w:val="Style20"/>
            <w:rFonts w:eastAsia="" w:eastAsiaTheme="majorEastAsia"/>
          </w:rPr>
          <w:t>5 АВАРИЙНЫЕ СИТУАЦИИ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_Toc507529930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35</w:t>
        </w:r>
        <w:r>
          <w:rPr>
            <w:webHidden/>
          </w:rPr>
          <w:fldChar w:fldCharType="end"/>
        </w:r>
      </w:hyperlink>
    </w:p>
    <w:p>
      <w:pPr>
        <w:pStyle w:val="12"/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hyperlink w:anchor="_Toc507529931">
        <w:r>
          <w:rPr>
            <w:webHidden/>
            <w:rStyle w:val="Style20"/>
            <w:rFonts w:eastAsia="" w:eastAsiaTheme="majorEastAsia"/>
          </w:rPr>
          <w:t>6 РЕКОМЕНДАЦИИ ПО ОСВОЕНИЮ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_Toc507529931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36</w:t>
        </w:r>
        <w:r>
          <w:rPr>
            <w:webHidden/>
          </w:rPr>
          <w:fldChar w:fldCharType="end"/>
        </w:r>
      </w:hyperlink>
    </w:p>
    <w:p>
      <w:pPr>
        <w:pStyle w:val="22"/>
        <w:tabs>
          <w:tab w:val="right" w:pos="10196" w:leader="dot"/>
        </w:tabs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hyperlink w:anchor="_Toc507529932">
        <w:r>
          <w:rPr>
            <w:webHidden/>
            <w:rStyle w:val="Style20"/>
            <w:rFonts w:eastAsia="" w:eastAsiaTheme="majorEastAsia"/>
          </w:rPr>
          <w:t>6.1 РЕКОМЕНДАЦИИ ПО ЗАПОЛНЕНИЮ ПОЛЕЙ ЛИЧНОГО КАБИНЕТА</w:t>
        </w:r>
        <w:r>
          <w:rPr>
            <w:webHidden/>
          </w:rPr>
          <w:fldChar w:fldCharType="begin"/>
        </w:r>
        <w:r>
          <w:rPr>
            <w:webHidden/>
          </w:rPr>
          <w:instrText>PAGEREF _Toc507529932 \h</w:instrText>
        </w:r>
        <w:r>
          <w:rPr>
            <w:webHidden/>
          </w:rPr>
          <w:fldChar w:fldCharType="separate"/>
        </w:r>
        <w:r>
          <w:rPr>
            <w:rStyle w:val="Style20"/>
            <w:vanish w:val="false"/>
          </w:rPr>
          <w:tab/>
          <w:t>36</w:t>
        </w:r>
        <w:r>
          <w:rPr>
            <w:webHidden/>
          </w:rPr>
          <w:fldChar w:fldCharType="end"/>
        </w:r>
      </w:hyperlink>
    </w:p>
    <w:p>
      <w:pPr>
        <w:pStyle w:val="12"/>
        <w:rPr/>
      </w:pPr>
      <w:r>
        <w:rPr/>
      </w:r>
      <w:r>
        <w:fldChar w:fldCharType="end"/>
      </w:r>
    </w:p>
    <w:p>
      <w:pPr>
        <w:pStyle w:val="Head11"/>
        <w:numPr>
          <w:ilvl w:val="0"/>
          <w:numId w:val="5"/>
        </w:numPr>
        <w:rPr/>
      </w:pPr>
      <w:bookmarkStart w:id="2" w:name="_Toc507529890"/>
      <w:bookmarkEnd w:id="2"/>
      <w:r>
        <w:rPr/>
        <w:t>ВВЕДЕНИЕ</w:t>
      </w:r>
    </w:p>
    <w:p>
      <w:pPr>
        <w:pStyle w:val="Head2"/>
        <w:numPr>
          <w:ilvl w:val="1"/>
          <w:numId w:val="5"/>
        </w:numPr>
        <w:rPr/>
      </w:pPr>
      <w:bookmarkStart w:id="3" w:name="_Toc507529891"/>
      <w:bookmarkEnd w:id="3"/>
      <w:r>
        <w:rPr/>
        <w:t>Область применения</w:t>
      </w:r>
    </w:p>
    <w:p>
      <w:pPr>
        <w:pStyle w:val="Usual1"/>
        <w:rPr/>
      </w:pPr>
      <w:r>
        <w:rPr/>
        <w:t>Информационно-аналитическая система «Мониторинг независимой оценки качества оказания услуг медицинскими организациями» (далее – Система) предназначена для использования медицинскими организациями, общественными советами для автоматизации процесса оценки качества оказания услуг медицинскими организациями.</w:t>
      </w:r>
    </w:p>
    <w:p>
      <w:pPr>
        <w:pStyle w:val="Head2"/>
        <w:numPr>
          <w:ilvl w:val="1"/>
          <w:numId w:val="5"/>
        </w:numPr>
        <w:rPr/>
      </w:pPr>
      <w:bookmarkStart w:id="4" w:name="_Toc507529892"/>
      <w:bookmarkEnd w:id="4"/>
      <w:r>
        <w:rPr/>
        <w:t>Краткое описание возможностей</w:t>
      </w:r>
    </w:p>
    <w:p>
      <w:pPr>
        <w:pStyle w:val="Usual1"/>
        <w:rPr/>
      </w:pPr>
      <w:r>
        <w:rPr/>
        <w:t>Система обеспечивает возможность выполнения перечисленных ниже процессов:</w:t>
      </w:r>
    </w:p>
    <w:p>
      <w:pPr>
        <w:pStyle w:val="Style34"/>
        <w:numPr>
          <w:ilvl w:val="0"/>
          <w:numId w:val="2"/>
        </w:numPr>
        <w:rPr/>
      </w:pPr>
      <w:r>
        <w:rPr/>
        <w:t>мониторинг информации, предоставление которой является обязательным в соответствии с законодательством РФ, размещаемой на официальных сайтах органов государственной власти субъектов РФ в сфере охраны здоровья и на официальных сайтах МО в сети Интернет, в том числе в соответствии с требованиями к ее содержанию и форме предоставления, утвержденными приказом Минздрава России от 30 декабря 2014 г.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«Интернет»;</w:t>
      </w:r>
    </w:p>
    <w:p>
      <w:pPr>
        <w:pStyle w:val="Style34"/>
        <w:numPr>
          <w:ilvl w:val="0"/>
          <w:numId w:val="2"/>
        </w:numPr>
        <w:rPr/>
      </w:pPr>
      <w:r>
        <w:rPr/>
        <w:t>мониторинг технических параметров работы официальных сайтов и информационного наполнения и качества (полноты) информации, размещаемой на официальных сайтах;</w:t>
      </w:r>
    </w:p>
    <w:p>
      <w:pPr>
        <w:pStyle w:val="Style34"/>
        <w:numPr>
          <w:ilvl w:val="0"/>
          <w:numId w:val="2"/>
        </w:numPr>
        <w:rPr/>
      </w:pPr>
      <w:r>
        <w:rPr/>
        <w:t>проведение независимой оценки качества оказания услуг медицинскими организациями.</w:t>
      </w:r>
    </w:p>
    <w:p>
      <w:pPr>
        <w:pStyle w:val="Head2"/>
        <w:numPr>
          <w:ilvl w:val="1"/>
          <w:numId w:val="5"/>
        </w:numPr>
        <w:rPr/>
      </w:pPr>
      <w:bookmarkStart w:id="5" w:name="_Toc507529893"/>
      <w:bookmarkEnd w:id="5"/>
      <w:r>
        <w:rPr/>
        <w:t>Уровень подготовки пользователя</w:t>
      </w:r>
    </w:p>
    <w:p>
      <w:pPr>
        <w:pStyle w:val="Usual1"/>
        <w:rPr/>
      </w:pPr>
      <w:r>
        <w:rPr/>
        <w:t>Пользователи должны пройти обязательную общую и специальную подготовку для работы с Системой и средствами вычислительной техники.</w:t>
      </w:r>
    </w:p>
    <w:p>
      <w:pPr>
        <w:pStyle w:val="Usual1"/>
        <w:rPr/>
      </w:pPr>
      <w:r>
        <w:rPr/>
        <w:t>Общая подготовка должна включать в себя получение навыков работы с компьютером и общим ПО (операционная система, офисное ПО) в объеме навыков пользователей персональных компьютеров.</w:t>
      </w:r>
    </w:p>
    <w:p>
      <w:pPr>
        <w:pStyle w:val="Usual1"/>
        <w:rPr/>
      </w:pPr>
      <w:r>
        <w:rPr/>
        <w:t>Специальная подготовка пользователей должна включать в себя получение знаний и навыков работы с комплексом технических средств и СПО Системы в объеме, необходимом для исполнения своих должностных обязанностей.</w:t>
      </w:r>
    </w:p>
    <w:p>
      <w:pPr>
        <w:pStyle w:val="Usual1"/>
        <w:rPr/>
      </w:pPr>
      <w:r>
        <w:rPr/>
        <w:t>Пользователи должны обладать знаниями и навыками работы в качестве пользователя персональных компьютеров в соответствии с Приложением к приказу Мининформсвязи России от 27.12.2005 г. № 147 «Квалификационные требования к государственным служащим в области использования информационных технологий».</w:t>
      </w:r>
    </w:p>
    <w:p>
      <w:pPr>
        <w:pStyle w:val="Usual1"/>
        <w:rPr/>
      </w:pPr>
      <w:r>
        <w:rPr/>
        <w:t>Пользователи должны обладать навыками работы с персональными компьютерами и устройствами периферии, в том числе:</w:t>
      </w:r>
    </w:p>
    <w:p>
      <w:pPr>
        <w:pStyle w:val="Style34"/>
        <w:numPr>
          <w:ilvl w:val="0"/>
          <w:numId w:val="2"/>
        </w:numPr>
        <w:rPr/>
      </w:pPr>
      <w:bookmarkStart w:id="6" w:name="O_9498"/>
      <w:bookmarkEnd w:id="6"/>
      <w:r>
        <w:rPr/>
        <w:t>самостоятельно (в требуемой последовательности) включать и отключать АРМ и периферийное оборудование от электропитания;</w:t>
      </w:r>
    </w:p>
    <w:p>
      <w:pPr>
        <w:pStyle w:val="Style34"/>
        <w:numPr>
          <w:ilvl w:val="0"/>
          <w:numId w:val="2"/>
        </w:numPr>
        <w:rPr/>
      </w:pPr>
      <w:r>
        <w:rPr/>
        <w:t>производить первоначальную загрузку операционной системы;</w:t>
      </w:r>
    </w:p>
    <w:p>
      <w:pPr>
        <w:pStyle w:val="Style34"/>
        <w:numPr>
          <w:ilvl w:val="0"/>
          <w:numId w:val="2"/>
        </w:numPr>
        <w:rPr/>
      </w:pPr>
      <w:r>
        <w:rPr/>
        <w:t>вводить данные с клавиатуры;</w:t>
      </w:r>
    </w:p>
    <w:p>
      <w:pPr>
        <w:pStyle w:val="Style34"/>
        <w:numPr>
          <w:ilvl w:val="0"/>
          <w:numId w:val="2"/>
        </w:numPr>
        <w:rPr/>
      </w:pPr>
      <w:r>
        <w:rPr/>
        <w:t>использовать манипулятор «мышь» для работы с визуальными элементами управления (элементами графического пользовательского интерфейса) на экране монитора;</w:t>
      </w:r>
    </w:p>
    <w:p>
      <w:pPr>
        <w:pStyle w:val="Style34"/>
        <w:numPr>
          <w:ilvl w:val="0"/>
          <w:numId w:val="2"/>
        </w:numPr>
        <w:rPr/>
      </w:pPr>
      <w:r>
        <w:rPr/>
        <w:t>обеспечивать загрузку бумаги в подающее устройство используемого принтера;</w:t>
      </w:r>
    </w:p>
    <w:p>
      <w:pPr>
        <w:pStyle w:val="Style34"/>
        <w:numPr>
          <w:ilvl w:val="0"/>
          <w:numId w:val="2"/>
        </w:numPr>
        <w:rPr/>
      </w:pPr>
      <w:r>
        <w:rPr/>
        <w:t>уметь пользоваться средствами операционной системы и оперировать ею с помощью графического пользовательского интерфейса, в том числе:</w:t>
      </w:r>
    </w:p>
    <w:p>
      <w:pPr>
        <w:pStyle w:val="23"/>
        <w:numPr>
          <w:ilvl w:val="0"/>
          <w:numId w:val="3"/>
        </w:numPr>
        <w:rPr/>
      </w:pPr>
      <w:r>
        <w:rPr/>
        <w:t>самостоятельно производить регистрацию в Системе;</w:t>
      </w:r>
    </w:p>
    <w:p>
      <w:pPr>
        <w:pStyle w:val="23"/>
        <w:numPr>
          <w:ilvl w:val="0"/>
          <w:numId w:val="3"/>
        </w:numPr>
        <w:rPr/>
      </w:pPr>
      <w:r>
        <w:rPr/>
        <w:t>осуществлять запуск программ на выполнение;</w:t>
      </w:r>
    </w:p>
    <w:p>
      <w:pPr>
        <w:pStyle w:val="23"/>
        <w:numPr>
          <w:ilvl w:val="0"/>
          <w:numId w:val="3"/>
        </w:numPr>
        <w:rPr/>
      </w:pPr>
      <w:r>
        <w:rPr/>
        <w:t>использовать базовые функции оконного интерфейса, позволяющего изменять размер окна программы и перемещать его на экране монитора;</w:t>
      </w:r>
    </w:p>
    <w:p>
      <w:pPr>
        <w:pStyle w:val="23"/>
        <w:numPr>
          <w:ilvl w:val="0"/>
          <w:numId w:val="3"/>
        </w:numPr>
        <w:rPr/>
      </w:pPr>
      <w:r>
        <w:rPr/>
        <w:t>переключаться между окнами выполняющихся на АРМ программ;</w:t>
      </w:r>
    </w:p>
    <w:p>
      <w:pPr>
        <w:pStyle w:val="23"/>
        <w:numPr>
          <w:ilvl w:val="0"/>
          <w:numId w:val="3"/>
        </w:numPr>
        <w:rPr/>
      </w:pPr>
      <w:r>
        <w:rPr/>
        <w:t>применять стандартные программы для поиска, копирования, перемещения, удаления и открытия файлов дисковой подсистемы;</w:t>
      </w:r>
    </w:p>
    <w:p>
      <w:pPr>
        <w:pStyle w:val="23"/>
        <w:numPr>
          <w:ilvl w:val="0"/>
          <w:numId w:val="3"/>
        </w:numPr>
        <w:rPr/>
      </w:pPr>
      <w:r>
        <w:rPr/>
        <w:t>активизировать режим подсказки (справки операционной системы);</w:t>
      </w:r>
    </w:p>
    <w:p>
      <w:pPr>
        <w:pStyle w:val="23"/>
        <w:numPr>
          <w:ilvl w:val="0"/>
          <w:numId w:val="3"/>
        </w:numPr>
        <w:rPr/>
      </w:pPr>
      <w:r>
        <w:rPr/>
        <w:t>уметь работать с офисными приложениями, а также с интернет-браузерами;</w:t>
      </w:r>
    </w:p>
    <w:p>
      <w:pPr>
        <w:pStyle w:val="Style34"/>
        <w:numPr>
          <w:ilvl w:val="0"/>
          <w:numId w:val="2"/>
        </w:numPr>
        <w:rPr/>
      </w:pPr>
      <w:r>
        <w:rPr/>
        <w:t>знать назначение и владеть методами работы с функциональными возможностями Системы, применение которых необходимо для обеспечения деятельности пользователей;</w:t>
      </w:r>
    </w:p>
    <w:p>
      <w:pPr>
        <w:pStyle w:val="Style34"/>
        <w:numPr>
          <w:ilvl w:val="0"/>
          <w:numId w:val="2"/>
        </w:numPr>
        <w:rPr/>
      </w:pPr>
      <w:r>
        <w:rPr/>
        <w:t>быть детально ознакомленными с положениями данного Руководства пользователя.</w:t>
      </w:r>
    </w:p>
    <w:p>
      <w:pPr>
        <w:pStyle w:val="Head2"/>
        <w:numPr>
          <w:ilvl w:val="1"/>
          <w:numId w:val="5"/>
        </w:numPr>
        <w:rPr/>
      </w:pPr>
      <w:bookmarkStart w:id="7" w:name="_Toc507529894"/>
      <w:bookmarkEnd w:id="7"/>
      <w:r>
        <w:rPr/>
        <w:t>Перечень эксплуатационной документации, с которой необходимо ознакомиться пользователю</w:t>
      </w:r>
    </w:p>
    <w:p>
      <w:pPr>
        <w:pStyle w:val="Usual1"/>
        <w:rPr/>
      </w:pPr>
      <w:r>
        <w:rPr/>
        <w:t>Перед началом работы в Системе пользователь должен быть ознакомлен с положениями настоящего документа.</w:t>
      </w:r>
    </w:p>
    <w:p>
      <w:pPr>
        <w:pStyle w:val="Head11"/>
        <w:numPr>
          <w:ilvl w:val="0"/>
          <w:numId w:val="5"/>
        </w:numPr>
        <w:rPr/>
      </w:pPr>
      <w:bookmarkStart w:id="8" w:name="_Toc507529895"/>
      <w:bookmarkEnd w:id="8"/>
      <w:r>
        <w:rPr/>
        <w:t>НАЗНАЧЕНИЕ И УСЛОВИЯ ПРИМЕНЕНИЯ</w:t>
      </w:r>
    </w:p>
    <w:p>
      <w:pPr>
        <w:pStyle w:val="Usual1"/>
        <w:rPr/>
      </w:pPr>
      <w:bookmarkStart w:id="9" w:name="_Ref462391958"/>
      <w:r>
        <w:rPr/>
        <w:t xml:space="preserve">Назначением информационно-аналитической системы «Мониторинг независимой оценки качества оказания услуг медицинскими организациями» является автоматизация административных процессов Минздрава России, направленных на проведение независимой оценки качества оказания услуг </w:t>
      </w:r>
      <w:r>
        <w:rPr>
          <w:bCs/>
        </w:rPr>
        <w:t>МО</w:t>
      </w:r>
      <w:r>
        <w:rPr/>
        <w:t xml:space="preserve">, и требований к содержанию и форме предоставления информации о деятельности </w:t>
      </w:r>
      <w:r>
        <w:rPr>
          <w:bCs/>
        </w:rPr>
        <w:t>МО</w:t>
      </w:r>
      <w:r>
        <w:rPr/>
        <w:t xml:space="preserve">, размещаемой на официальных сайтах Минздрава России, органов государственной власти субъектов </w:t>
      </w:r>
      <w:r>
        <w:rPr>
          <w:bCs/>
        </w:rPr>
        <w:t>РФ</w:t>
      </w:r>
      <w:r>
        <w:rPr/>
        <w:t xml:space="preserve">, органов местного самоуправления и </w:t>
      </w:r>
      <w:r>
        <w:rPr>
          <w:bCs/>
        </w:rPr>
        <w:t xml:space="preserve">МО </w:t>
      </w:r>
      <w:r>
        <w:rPr/>
        <w:t>в сети Интернет.</w:t>
      </w:r>
    </w:p>
    <w:p>
      <w:pPr>
        <w:pStyle w:val="Style39"/>
        <w:ind w:firstLine="567"/>
        <w:rPr>
          <w:sz w:val="28"/>
          <w:szCs w:val="28"/>
        </w:rPr>
      </w:pPr>
      <w:r>
        <w:rPr>
          <w:sz w:val="28"/>
          <w:szCs w:val="28"/>
        </w:rPr>
        <w:t>Система позволяет в автоматизированном режиме выполнять следующие функции:</w:t>
      </w:r>
    </w:p>
    <w:p>
      <w:pPr>
        <w:pStyle w:val="Style34"/>
        <w:numPr>
          <w:ilvl w:val="0"/>
          <w:numId w:val="2"/>
        </w:numPr>
        <w:rPr/>
      </w:pPr>
      <w:r>
        <w:rPr/>
        <w:t>ведение реестра официальных сайтов МО, согласованный Минздравом России;</w:t>
      </w:r>
    </w:p>
    <w:p>
      <w:pPr>
        <w:pStyle w:val="Style34"/>
        <w:numPr>
          <w:ilvl w:val="0"/>
          <w:numId w:val="2"/>
        </w:numPr>
        <w:rPr/>
      </w:pPr>
      <w:r>
        <w:rPr/>
        <w:t>мониторинг измеряемых параметров из анкет НОК и публикации его результатов, при помощи презентационного модуля (интернет-сайт);</w:t>
      </w:r>
    </w:p>
    <w:p>
      <w:pPr>
        <w:pStyle w:val="Style34"/>
        <w:numPr>
          <w:ilvl w:val="0"/>
          <w:numId w:val="2"/>
        </w:numPr>
        <w:rPr/>
      </w:pPr>
      <w:r>
        <w:rPr/>
        <w:t>ручное и автоматическое модерирование отзывов пользователей из соответствующих полей анкет НОК;</w:t>
      </w:r>
    </w:p>
    <w:p>
      <w:pPr>
        <w:pStyle w:val="Style34"/>
        <w:numPr>
          <w:ilvl w:val="0"/>
          <w:numId w:val="2"/>
        </w:numPr>
        <w:rPr/>
      </w:pPr>
      <w:r>
        <w:rPr/>
        <w:t>обеспечение контроля работы с отзывами специалистами органов государственной власти субъектов РФ в сфере охраны здоровья (Кураторов);</w:t>
      </w:r>
    </w:p>
    <w:p>
      <w:pPr>
        <w:pStyle w:val="Style34"/>
        <w:numPr>
          <w:ilvl w:val="0"/>
          <w:numId w:val="2"/>
        </w:numPr>
        <w:rPr/>
      </w:pPr>
      <w:r>
        <w:rPr/>
        <w:t>сбор и визуализация статистической информации по каждой конкретной МО (участнику Системы) на основании данных, хранящихся в Системе;</w:t>
      </w:r>
    </w:p>
    <w:p>
      <w:pPr>
        <w:pStyle w:val="Style34"/>
        <w:numPr>
          <w:ilvl w:val="0"/>
          <w:numId w:val="2"/>
        </w:numPr>
        <w:rPr/>
      </w:pPr>
      <w:r>
        <w:rPr/>
        <w:t>ввод и редактирование информации, обязательной к размещению на сайтах МО и органов государственной власти.</w:t>
      </w:r>
    </w:p>
    <w:p>
      <w:pPr>
        <w:pStyle w:val="Style34"/>
        <w:numPr>
          <w:ilvl w:val="0"/>
          <w:numId w:val="2"/>
        </w:numPr>
        <w:rPr/>
      </w:pPr>
      <w:r>
        <w:rPr/>
        <w:t>авторизация и аутентификация пользователей;</w:t>
      </w:r>
    </w:p>
    <w:p>
      <w:pPr>
        <w:pStyle w:val="Style34"/>
        <w:numPr>
          <w:ilvl w:val="0"/>
          <w:numId w:val="2"/>
        </w:numPr>
        <w:rPr/>
      </w:pPr>
      <w:r>
        <w:rPr/>
        <w:t>разграничение прав доступа пользователей в Системе, согласно ролевой модели;</w:t>
      </w:r>
    </w:p>
    <w:p>
      <w:pPr>
        <w:pStyle w:val="Head2"/>
        <w:numPr>
          <w:ilvl w:val="1"/>
          <w:numId w:val="5"/>
        </w:numPr>
        <w:rPr/>
      </w:pPr>
      <w:bookmarkStart w:id="10" w:name="_Ref462391958"/>
      <w:bookmarkStart w:id="11" w:name="_Toc507529896"/>
      <w:bookmarkEnd w:id="10"/>
      <w:bookmarkEnd w:id="11"/>
      <w:r>
        <w:rPr/>
        <w:t>Условия, при соблюдении которых обеспечивается применение Системы в соответствии с назначением</w:t>
      </w:r>
    </w:p>
    <w:p>
      <w:pPr>
        <w:pStyle w:val="Usual1"/>
        <w:rPr/>
      </w:pPr>
      <w:r>
        <w:rPr/>
        <w:t>Минимальная конфигурация комплекса технических средств клиентской рабочей станции, включает в себя:</w:t>
      </w:r>
    </w:p>
    <w:p>
      <w:pPr>
        <w:pStyle w:val="Style34"/>
        <w:numPr>
          <w:ilvl w:val="0"/>
          <w:numId w:val="2"/>
        </w:numPr>
        <w:rPr/>
      </w:pPr>
      <w:r>
        <w:rPr/>
        <w:t>процессор – 1,6 GHz;</w:t>
      </w:r>
    </w:p>
    <w:p>
      <w:pPr>
        <w:pStyle w:val="Style34"/>
        <w:numPr>
          <w:ilvl w:val="0"/>
          <w:numId w:val="2"/>
        </w:numPr>
        <w:rPr/>
      </w:pPr>
      <w:r>
        <w:rPr/>
        <w:t>оперативная память – 1 Gb;</w:t>
      </w:r>
    </w:p>
    <w:p>
      <w:pPr>
        <w:pStyle w:val="Style34"/>
        <w:numPr>
          <w:ilvl w:val="0"/>
          <w:numId w:val="2"/>
        </w:numPr>
        <w:rPr/>
      </w:pPr>
      <w:r>
        <w:rPr/>
        <w:t>сетевой адаптер – 10/100/1000Mbit Ethernet;</w:t>
      </w:r>
    </w:p>
    <w:p>
      <w:pPr>
        <w:pStyle w:val="Style34"/>
        <w:numPr>
          <w:ilvl w:val="0"/>
          <w:numId w:val="2"/>
        </w:numPr>
        <w:rPr/>
      </w:pPr>
      <w:r>
        <w:rPr/>
        <w:t>жёсткий диск – 200 гигабайт;</w:t>
      </w:r>
    </w:p>
    <w:p>
      <w:pPr>
        <w:pStyle w:val="Style34"/>
        <w:numPr>
          <w:ilvl w:val="0"/>
          <w:numId w:val="2"/>
        </w:numPr>
        <w:rPr/>
      </w:pPr>
      <w:r>
        <w:rPr/>
        <w:t>монитор – TFT с шириной 17” и больше.</w:t>
      </w:r>
    </w:p>
    <w:p>
      <w:pPr>
        <w:pStyle w:val="Usual1"/>
        <w:rPr/>
      </w:pPr>
      <w:r>
        <w:rPr/>
        <w:t xml:space="preserve">Стандартная минимально возможная конфигурация программного обеспечения </w:t>
      </w:r>
      <w:r>
        <w:rPr>
          <w:lang w:eastAsia="ar-SA"/>
        </w:rPr>
        <w:t>клиентской рабочей станции</w:t>
      </w:r>
      <w:r>
        <w:rPr/>
        <w:t xml:space="preserve"> включает в себя:</w:t>
      </w:r>
    </w:p>
    <w:p>
      <w:pPr>
        <w:pStyle w:val="Style34"/>
        <w:numPr>
          <w:ilvl w:val="0"/>
          <w:numId w:val="2"/>
        </w:numPr>
        <w:rPr/>
      </w:pPr>
      <w:r>
        <w:rPr/>
        <w:t>операционную систему Windows (версии 7 и выше);</w:t>
      </w:r>
    </w:p>
    <w:p>
      <w:pPr>
        <w:pStyle w:val="Style34"/>
        <w:numPr>
          <w:ilvl w:val="0"/>
          <w:numId w:val="2"/>
        </w:numPr>
        <w:rPr/>
      </w:pPr>
      <w:r>
        <w:rPr/>
        <w:t xml:space="preserve">браузерное приложение Microsoft Internet Explorer, </w:t>
      </w:r>
      <w:r>
        <w:rPr>
          <w:lang w:val="en-US"/>
        </w:rPr>
        <w:t>Safari</w:t>
      </w:r>
      <w:r>
        <w:rPr/>
        <w:t xml:space="preserve">, Mozilla Firefox или </w:t>
      </w:r>
      <w:r>
        <w:rPr>
          <w:lang w:val="en-US"/>
        </w:rPr>
        <w:t>Chrome</w:t>
      </w:r>
      <w:r>
        <w:rPr/>
        <w:t xml:space="preserve"> последних версий.</w:t>
      </w:r>
    </w:p>
    <w:p>
      <w:pPr>
        <w:pStyle w:val="Head11"/>
        <w:numPr>
          <w:ilvl w:val="0"/>
          <w:numId w:val="5"/>
        </w:numPr>
        <w:rPr/>
      </w:pPr>
      <w:bookmarkStart w:id="12" w:name="_Toc507529897"/>
      <w:bookmarkEnd w:id="12"/>
      <w:r>
        <w:rPr/>
        <w:t>ПОДГОТОВКА К РАБОТЕ</w:t>
      </w:r>
    </w:p>
    <w:p>
      <w:pPr>
        <w:pStyle w:val="Head2"/>
        <w:numPr>
          <w:ilvl w:val="1"/>
          <w:numId w:val="5"/>
        </w:numPr>
        <w:rPr/>
      </w:pPr>
      <w:bookmarkStart w:id="13" w:name="_Toc507529898"/>
      <w:bookmarkEnd w:id="13"/>
      <w:r>
        <w:rPr/>
        <w:t>Состав и содержание дистрибутивного носителя данных</w:t>
      </w:r>
    </w:p>
    <w:p>
      <w:pPr>
        <w:pStyle w:val="Usual1"/>
        <w:rPr/>
      </w:pPr>
      <w:r>
        <w:rPr/>
        <w:t>Система не использует при своем функционировании каких-либо децентрализованных автономных механизмов обеспечения работы своих функциональных возможностей, в связи с чем, для работы с Системой не требуется использование каких-либо дистрибутивных носителей данных.</w:t>
      </w:r>
    </w:p>
    <w:p>
      <w:pPr>
        <w:pStyle w:val="Head2"/>
        <w:numPr>
          <w:ilvl w:val="1"/>
          <w:numId w:val="5"/>
        </w:numPr>
        <w:rPr/>
      </w:pPr>
      <w:bookmarkStart w:id="14" w:name="_Toc507529899"/>
      <w:bookmarkEnd w:id="14"/>
      <w:r>
        <w:rPr/>
        <w:t>Порядок загрузки данных и программ</w:t>
      </w:r>
    </w:p>
    <w:p>
      <w:pPr>
        <w:pStyle w:val="Usual1"/>
        <w:rPr/>
      </w:pPr>
      <w:r>
        <w:rPr/>
        <w:t>Для начала работы с Системой не требуется запуска или загрузки каких-либо иных программных средств, кроме используемого пользователем браузерного приложения.</w:t>
      </w:r>
    </w:p>
    <w:p>
      <w:pPr>
        <w:pStyle w:val="Usual1"/>
        <w:rPr>
          <w:lang w:eastAsia="ar-SA"/>
        </w:rPr>
      </w:pPr>
      <w:r>
        <w:rPr/>
        <w:t xml:space="preserve">Порядок действий, осуществляемых пользователем для начала работы с Системой, включает в </w:t>
      </w:r>
      <w:r>
        <w:rPr>
          <w:lang w:eastAsia="ar-SA"/>
        </w:rPr>
        <w:t>себя:</w:t>
      </w:r>
    </w:p>
    <w:p>
      <w:pPr>
        <w:pStyle w:val="Style34"/>
        <w:numPr>
          <w:ilvl w:val="0"/>
          <w:numId w:val="2"/>
        </w:numPr>
        <w:rPr/>
      </w:pPr>
      <w:r>
        <w:rPr/>
        <w:t>запуск используемого браузерного приложения;</w:t>
      </w:r>
    </w:p>
    <w:p>
      <w:pPr>
        <w:pStyle w:val="Style34"/>
        <w:numPr>
          <w:ilvl w:val="0"/>
          <w:numId w:val="2"/>
        </w:numPr>
        <w:rPr/>
      </w:pPr>
      <w:r>
        <w:rPr/>
        <w:t>ввод в адресную строку браузерного приложения адреса Системы;</w:t>
      </w:r>
    </w:p>
    <w:p>
      <w:pPr>
        <w:pStyle w:val="Style34"/>
        <w:numPr>
          <w:ilvl w:val="0"/>
          <w:numId w:val="2"/>
        </w:numPr>
        <w:rPr/>
      </w:pPr>
      <w:r>
        <w:rPr/>
        <w:t>ожидание полной загрузки стартовой страницы Системы.</w:t>
      </w:r>
    </w:p>
    <w:p>
      <w:pPr>
        <w:pStyle w:val="Head2"/>
        <w:numPr>
          <w:ilvl w:val="1"/>
          <w:numId w:val="5"/>
        </w:numPr>
        <w:rPr/>
      </w:pPr>
      <w:bookmarkStart w:id="15" w:name="_Toc507529900"/>
      <w:bookmarkEnd w:id="15"/>
      <w:r>
        <w:rPr/>
        <w:t>Порядок проверки работоспособности</w:t>
      </w:r>
    </w:p>
    <w:p>
      <w:pPr>
        <w:pStyle w:val="Usual1"/>
        <w:rPr/>
      </w:pPr>
      <w:r>
        <w:rPr/>
        <w:t>Порядок проверки работоспособности:</w:t>
      </w:r>
    </w:p>
    <w:p>
      <w:pPr>
        <w:pStyle w:val="Style34"/>
        <w:numPr>
          <w:ilvl w:val="0"/>
          <w:numId w:val="2"/>
        </w:numPr>
        <w:rPr/>
      </w:pPr>
      <w:r>
        <w:rPr/>
        <w:t>запуск используемого браузерного приложения;</w:t>
      </w:r>
    </w:p>
    <w:p>
      <w:pPr>
        <w:pStyle w:val="Style34"/>
        <w:numPr>
          <w:ilvl w:val="0"/>
          <w:numId w:val="2"/>
        </w:numPr>
        <w:rPr/>
      </w:pPr>
      <w:r>
        <w:rPr/>
        <w:t>ввод в адресную строку загрузившегося браузерного приложения адреса Системы;</w:t>
      </w:r>
    </w:p>
    <w:p>
      <w:pPr>
        <w:pStyle w:val="Style34"/>
        <w:numPr>
          <w:ilvl w:val="0"/>
          <w:numId w:val="2"/>
        </w:numPr>
        <w:rPr/>
      </w:pPr>
      <w:r>
        <w:rPr/>
        <w:t>ожидание полной загрузки стартовой страницы Системы;</w:t>
      </w:r>
    </w:p>
    <w:p>
      <w:pPr>
        <w:pStyle w:val="Style34"/>
        <w:numPr>
          <w:ilvl w:val="0"/>
          <w:numId w:val="2"/>
        </w:numPr>
        <w:rPr/>
      </w:pPr>
      <w:r>
        <w:rPr/>
        <w:t>в случае если стартовая страница не загрузилась, необходимо незамедлительно сообщить о неисправности администратору по электронной почте, указанной на стартовой странице Системы (</w:t>
      </w:r>
      <w:r>
        <w:rPr/>
        <w:fldChar w:fldCharType="begin"/>
      </w:r>
      <w:r>
        <w:instrText> REF _Ref500944781 \h </w:instrText>
      </w:r>
      <w:r>
        <w:fldChar w:fldCharType="separate"/>
      </w:r>
      <w:r>
        <w:t>Рисунок 1</w:t>
      </w:r>
      <w:r>
        <w:fldChar w:fldCharType="end"/>
      </w:r>
      <w:r>
        <w:rPr/>
        <w:t>);</w:t>
      </w:r>
    </w:p>
    <w:p>
      <w:pPr>
        <w:pStyle w:val="Style34"/>
        <w:numPr>
          <w:ilvl w:val="0"/>
          <w:numId w:val="2"/>
        </w:numPr>
        <w:rPr/>
      </w:pPr>
      <w:r>
        <w:rPr/>
        <w:t>в случае если стартовая страница загрузилась полностью, необходимо авторизоваться и в произвольном порядке проверить все функциональные возможности Системы и, при обнаружении неисправностей незамедлительно, сообщить о них администратору по электронной почте.</w:t>
      </w:r>
    </w:p>
    <w:p>
      <w:pPr>
        <w:pStyle w:val="Style36"/>
        <w:rPr/>
      </w:pPr>
      <w:r>
        <w:rPr/>
        <w:drawing>
          <wp:inline distT="0" distB="2540" distL="0" distR="0">
            <wp:extent cx="4384040" cy="4798060"/>
            <wp:effectExtent l="0" t="0" r="0" b="0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479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6" w:name="_Ref50094478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</w:t>
      </w:r>
      <w:r>
        <w:fldChar w:fldCharType="end"/>
      </w:r>
      <w:bookmarkEnd w:id="16"/>
      <w:r>
        <w:rPr/>
        <w:t> – Стартовая страница Системы</w:t>
      </w:r>
    </w:p>
    <w:p>
      <w:pPr>
        <w:pStyle w:val="Head11"/>
        <w:numPr>
          <w:ilvl w:val="0"/>
          <w:numId w:val="5"/>
        </w:numPr>
        <w:rPr/>
      </w:pPr>
      <w:bookmarkStart w:id="17" w:name="_Toc507529901"/>
      <w:bookmarkStart w:id="18" w:name="_Ref500695756"/>
      <w:bookmarkEnd w:id="17"/>
      <w:bookmarkEnd w:id="18"/>
      <w:r>
        <w:rPr/>
        <w:t>ОПИСАНИЕ ОПЕРАЦИЙ</w:t>
      </w:r>
    </w:p>
    <w:p>
      <w:pPr>
        <w:pStyle w:val="Usual1"/>
        <w:rPr/>
      </w:pPr>
      <w:r>
        <w:rPr/>
        <w:t>В составе Системы входят следующие типы личных кабинетов пользователей:</w:t>
      </w:r>
    </w:p>
    <w:p>
      <w:pPr>
        <w:pStyle w:val="Style34"/>
        <w:numPr>
          <w:ilvl w:val="0"/>
          <w:numId w:val="2"/>
        </w:numPr>
        <w:rPr/>
      </w:pPr>
      <w:r>
        <w:rPr/>
        <w:t>«Личный кабинет медицинской организации»;</w:t>
      </w:r>
    </w:p>
    <w:p>
      <w:pPr>
        <w:pStyle w:val="Style34"/>
        <w:numPr>
          <w:ilvl w:val="0"/>
          <w:numId w:val="2"/>
        </w:numPr>
        <w:rPr/>
      </w:pPr>
      <w:r>
        <w:rPr/>
        <w:t>«Личный кабинет органа государственной власти» (ОГВ);</w:t>
      </w:r>
    </w:p>
    <w:p>
      <w:pPr>
        <w:pStyle w:val="Style34"/>
        <w:numPr>
          <w:ilvl w:val="0"/>
          <w:numId w:val="2"/>
        </w:numPr>
        <w:rPr/>
      </w:pPr>
      <w:r>
        <w:rPr/>
        <w:t>«Личный кабинет сотрудника Минздрава РФ»;</w:t>
      </w:r>
    </w:p>
    <w:p>
      <w:pPr>
        <w:pStyle w:val="Style34"/>
        <w:numPr>
          <w:ilvl w:val="0"/>
          <w:numId w:val="2"/>
        </w:numPr>
        <w:rPr/>
      </w:pPr>
      <w:r>
        <w:rPr/>
        <w:t>«Витрина данных независимой оценки качества».</w:t>
      </w:r>
    </w:p>
    <w:p>
      <w:pPr>
        <w:pStyle w:val="Usual1"/>
        <w:rPr/>
      </w:pPr>
      <w:r>
        <w:rPr/>
        <w:t>Ниже рассмотрена работа с каждым из этих типов личных кабинетов пользователей.</w:t>
      </w:r>
    </w:p>
    <w:p>
      <w:pPr>
        <w:pStyle w:val="Head2"/>
        <w:numPr>
          <w:ilvl w:val="1"/>
          <w:numId w:val="5"/>
        </w:numPr>
        <w:rPr/>
      </w:pPr>
      <w:bookmarkStart w:id="19" w:name="_Toc507529902"/>
      <w:bookmarkEnd w:id="19"/>
      <w:r>
        <w:rPr/>
        <w:t>Личный кабинет медицинской организации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20" w:name="_Toc507529903"/>
      <w:bookmarkEnd w:id="20"/>
      <w:r>
        <w:rPr/>
        <w:t>Вход и авторизация</w:t>
      </w:r>
    </w:p>
    <w:p>
      <w:pPr>
        <w:pStyle w:val="Usual1"/>
        <w:rPr/>
      </w:pPr>
      <w:r>
        <w:rPr/>
        <w:t>Для авторизации в Системе следует:</w:t>
      </w:r>
    </w:p>
    <w:p>
      <w:pPr>
        <w:pStyle w:val="Style34"/>
        <w:numPr>
          <w:ilvl w:val="0"/>
          <w:numId w:val="2"/>
        </w:numPr>
        <w:rPr/>
      </w:pPr>
      <w:r>
        <w:rPr/>
        <w:t>запустить интернет-браузер;</w:t>
      </w:r>
    </w:p>
    <w:p>
      <w:pPr>
        <w:pStyle w:val="Style34"/>
        <w:numPr>
          <w:ilvl w:val="0"/>
          <w:numId w:val="2"/>
        </w:numPr>
        <w:rPr/>
      </w:pPr>
      <w:r>
        <w:rPr/>
        <w:t>ввести в адресную строку браузера адрес Системы;</w:t>
      </w:r>
    </w:p>
    <w:p>
      <w:pPr>
        <w:pStyle w:val="Style34"/>
        <w:keepNext/>
        <w:numPr>
          <w:ilvl w:val="0"/>
          <w:numId w:val="2"/>
        </w:numPr>
        <w:ind w:left="1560" w:hanging="851"/>
        <w:rPr/>
      </w:pPr>
      <w:r>
        <w:rPr/>
        <w:t>дождаться полной загрузки стартовой страницы (</w:t>
      </w:r>
      <w:r>
        <w:rPr/>
        <w:fldChar w:fldCharType="begin"/>
      </w:r>
      <w:r>
        <w:instrText> REF _Ref500944917 \h </w:instrText>
      </w:r>
      <w:r>
        <w:fldChar w:fldCharType="separate"/>
      </w:r>
      <w:r>
        <w:t>Рисунок 2</w:t>
      </w:r>
      <w:r>
        <w:fldChar w:fldCharType="end"/>
      </w: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988060</wp:posOffset>
            </wp:positionH>
            <wp:positionV relativeFrom="paragraph">
              <wp:posOffset>317500</wp:posOffset>
            </wp:positionV>
            <wp:extent cx="4229735" cy="4442460"/>
            <wp:effectExtent l="0" t="0" r="0" b="0"/>
            <wp:wrapTopAndBottom/>
            <wp:docPr id="2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35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).</w:t>
      </w:r>
    </w:p>
    <w:p>
      <w:pPr>
        <w:pStyle w:val="Style37"/>
        <w:rPr/>
      </w:pPr>
      <w:bookmarkStart w:id="21" w:name="_Ref500944917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</w:t>
      </w:r>
      <w:r>
        <w:fldChar w:fldCharType="end"/>
      </w:r>
      <w:bookmarkEnd w:id="21"/>
      <w:r>
        <w:rPr/>
        <w:t> – Стартовая страница личного кабинета медицинской организации</w:t>
      </w:r>
    </w:p>
    <w:p>
      <w:pPr>
        <w:pStyle w:val="Style34"/>
        <w:numPr>
          <w:ilvl w:val="0"/>
          <w:numId w:val="0"/>
        </w:numPr>
        <w:ind w:left="851" w:hanging="0"/>
        <w:rPr/>
      </w:pPr>
      <w:r>
        <w:rPr/>
        <w:t>Далее следует ввести соответствующие значения в поля Логин и Пароль и</w:t>
      </w:r>
    </w:p>
    <w:p>
      <w:pPr>
        <w:pStyle w:val="Normal"/>
        <w:suppressAutoHyphens w:val="true"/>
        <w:spacing w:lineRule="auto" w:line="360" w:before="0" w:after="0"/>
        <w:jc w:val="both"/>
        <w:rPr/>
      </w:pPr>
      <w:r>
        <w:rPr>
          <w:rStyle w:val="Style15"/>
        </w:rPr>
        <w:t>нажать кнопку «Войти». Будет загружена главная страница Системы (</w:t>
      </w:r>
      <w:r>
        <w:rPr>
          <w:rStyle w:val="Style15"/>
        </w:rPr>
        <w:fldChar w:fldCharType="begin"/>
      </w:r>
      <w:r>
        <w:instrText> REF _Ref500944948 \h </w:instrText>
      </w:r>
      <w:r>
        <w:fldChar w:fldCharType="separate"/>
      </w:r>
      <w:r>
        <w:t>Рисунок 3</w:t>
      </w:r>
      <w:r>
        <w:fldChar w:fldCharType="end"/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Style36"/>
        <w:rPr/>
      </w:pPr>
      <w:r>
        <w:rPr/>
        <w:drawing>
          <wp:inline distT="0" distB="0" distL="0" distR="0">
            <wp:extent cx="6480810" cy="2538730"/>
            <wp:effectExtent l="0" t="0" r="0" b="0"/>
            <wp:docPr id="3" name="Рисунок 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37"/>
        <w:rPr/>
      </w:pPr>
      <w:bookmarkStart w:id="22" w:name="_Ref500944948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</w:t>
      </w:r>
      <w:r>
        <w:fldChar w:fldCharType="end"/>
      </w:r>
      <w:bookmarkEnd w:id="22"/>
      <w:r>
        <w:rPr/>
        <w:t> – Главное окно Личный кабинет медицинской организации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23" w:name="_Toc507529904"/>
      <w:r>
        <w:rPr/>
        <w:t>Главная страница Личного кабинета медицинской организации</w:t>
      </w:r>
      <w:bookmarkEnd w:id="23"/>
      <w:r>
        <w:rPr/>
        <w:t xml:space="preserve"> </w:t>
      </w:r>
    </w:p>
    <w:p>
      <w:pPr>
        <w:pStyle w:val="Usual1"/>
        <w:rPr/>
      </w:pPr>
      <w:r>
        <w:rPr/>
        <w:t>Главное окно содержит кнопки перехода к страницам, позволяющим ввести детальную информацию о медицинской организации:</w:t>
      </w:r>
    </w:p>
    <w:p>
      <w:pPr>
        <w:pStyle w:val="Style34"/>
        <w:numPr>
          <w:ilvl w:val="0"/>
          <w:numId w:val="2"/>
        </w:numPr>
        <w:rPr/>
      </w:pPr>
      <w:r>
        <w:rPr/>
        <w:t>«Сведения о медицинской организации»;</w:t>
      </w:r>
    </w:p>
    <w:p>
      <w:pPr>
        <w:pStyle w:val="Style34"/>
        <w:numPr>
          <w:ilvl w:val="0"/>
          <w:numId w:val="2"/>
        </w:numPr>
        <w:rPr/>
      </w:pPr>
      <w:r>
        <w:rPr/>
        <w:t>«Информация для пациентов»;</w:t>
      </w:r>
    </w:p>
    <w:p>
      <w:pPr>
        <w:pStyle w:val="Style34"/>
        <w:numPr>
          <w:ilvl w:val="0"/>
          <w:numId w:val="2"/>
        </w:numPr>
        <w:rPr/>
      </w:pPr>
      <w:r>
        <w:rPr/>
        <w:t>«Диспансеризация»;</w:t>
      </w:r>
    </w:p>
    <w:p>
      <w:pPr>
        <w:pStyle w:val="Style34"/>
        <w:numPr>
          <w:ilvl w:val="0"/>
          <w:numId w:val="2"/>
        </w:numPr>
        <w:rPr/>
      </w:pPr>
      <w:r>
        <w:rPr/>
        <w:t>«Платные услуги»;</w:t>
      </w:r>
    </w:p>
    <w:p>
      <w:pPr>
        <w:pStyle w:val="Style34"/>
        <w:numPr>
          <w:ilvl w:val="0"/>
          <w:numId w:val="2"/>
        </w:numPr>
        <w:rPr/>
      </w:pPr>
      <w:r>
        <w:rPr/>
        <w:t>«Медицинские работники»;</w:t>
      </w:r>
    </w:p>
    <w:p>
      <w:pPr>
        <w:pStyle w:val="Style34"/>
        <w:numPr>
          <w:ilvl w:val="0"/>
          <w:numId w:val="2"/>
        </w:numPr>
        <w:rPr/>
      </w:pPr>
      <w:r>
        <w:rPr/>
        <w:t>«Вакансии»;</w:t>
      </w:r>
    </w:p>
    <w:p>
      <w:pPr>
        <w:pStyle w:val="Style34"/>
        <w:numPr>
          <w:ilvl w:val="0"/>
          <w:numId w:val="2"/>
        </w:numPr>
        <w:rPr/>
      </w:pPr>
      <w:r>
        <w:rPr/>
        <w:t>«Лекарственное обеспечение»;</w:t>
      </w:r>
    </w:p>
    <w:p>
      <w:pPr>
        <w:pStyle w:val="Style34"/>
        <w:numPr>
          <w:ilvl w:val="0"/>
          <w:numId w:val="2"/>
        </w:numPr>
        <w:rPr/>
      </w:pPr>
      <w:r>
        <w:rPr/>
        <w:t>«Вышестоящие и контролирующие органы»;</w:t>
      </w:r>
    </w:p>
    <w:p>
      <w:pPr>
        <w:pStyle w:val="Style34"/>
        <w:numPr>
          <w:ilvl w:val="0"/>
          <w:numId w:val="2"/>
        </w:numPr>
        <w:rPr/>
      </w:pPr>
      <w:r>
        <w:rPr/>
        <w:t>«Документы»;</w:t>
      </w:r>
    </w:p>
    <w:p>
      <w:pPr>
        <w:pStyle w:val="Style34"/>
        <w:numPr>
          <w:ilvl w:val="0"/>
          <w:numId w:val="2"/>
        </w:numPr>
        <w:rPr/>
      </w:pPr>
      <w:r>
        <w:rPr/>
        <w:t>«Контактная информация».</w:t>
      </w:r>
    </w:p>
    <w:p>
      <w:pPr>
        <w:pStyle w:val="Style34"/>
        <w:numPr>
          <w:ilvl w:val="0"/>
          <w:numId w:val="0"/>
        </w:numPr>
        <w:ind w:firstLine="709"/>
        <w:rPr/>
      </w:pPr>
      <w:r>
        <w:rPr/>
        <w:t xml:space="preserve">В каждом пункте стоят значения в процентах, отражающие степень заполнения каждого раздела личного кабинета. </w:t>
      </w:r>
    </w:p>
    <w:p>
      <w:pPr>
        <w:pStyle w:val="Style34"/>
        <w:numPr>
          <w:ilvl w:val="0"/>
          <w:numId w:val="0"/>
        </w:numPr>
        <w:ind w:firstLine="709"/>
        <w:rPr/>
      </w:pPr>
      <w:r>
        <w:rPr/>
        <w:t xml:space="preserve">Информация главной страницы отражает сведения по заполнению обязательной информации в личном кабинете медицинской организации, результаты проверки сайта медицинской организации на наличие ошибок и время загрузки сайта, сведения о доступности баннера на сайте медицинской организации, количество заполненных анкет независимой оценки качества, количество сотрудников, у которых закончился срок действия лицензии. 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24" w:name="_Toc507529905"/>
      <w:bookmarkStart w:id="25" w:name="_Ref500694681"/>
      <w:bookmarkEnd w:id="24"/>
      <w:bookmarkEnd w:id="25"/>
      <w:r>
        <w:rPr/>
        <w:t>Ввод текстовой информации</w:t>
      </w:r>
    </w:p>
    <w:p>
      <w:pPr>
        <w:pStyle w:val="Usual1"/>
        <w:rPr/>
      </w:pPr>
      <w:r>
        <w:rPr/>
        <w:t>Для ввода новой информации на любую страницу медицинской организации следует нажать на кнопку «+ Новая запись». Откроется форма для ввода новой информации. Например, при вводе контактной информации откроется форма, показанная ниже (</w:t>
      </w:r>
      <w:r>
        <w:rPr/>
        <w:fldChar w:fldCharType="begin"/>
      </w:r>
      <w:r>
        <w:instrText> REF _Ref500944995 \h </w:instrText>
      </w:r>
      <w:r>
        <w:fldChar w:fldCharType="separate"/>
      </w:r>
      <w:r>
        <w:t>Рисунок 4</w:t>
      </w:r>
      <w:r>
        <w:fldChar w:fldCharType="end"/>
      </w:r>
      <w:r>
        <w:rPr/>
        <w:t>).</w:t>
      </w:r>
    </w:p>
    <w:p>
      <w:pPr>
        <w:pStyle w:val="Usual1"/>
        <w:rPr/>
      </w:pPr>
      <w:r>
        <w:rPr/>
      </w:r>
    </w:p>
    <w:p>
      <w:pPr>
        <w:pStyle w:val="Normal"/>
        <w:rPr>
          <w:lang w:eastAsia="ru-RU"/>
        </w:rPr>
      </w:pPr>
      <w:r>
        <w:rPr/>
        <w:drawing>
          <wp:inline distT="0" distB="3810" distL="0" distR="0">
            <wp:extent cx="6480810" cy="986790"/>
            <wp:effectExtent l="0" t="0" r="0" b="0"/>
            <wp:docPr id="4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26" w:name="_Ref50094499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</w:t>
      </w:r>
      <w:r>
        <w:fldChar w:fldCharType="end"/>
      </w:r>
      <w:bookmarkEnd w:id="26"/>
      <w:r>
        <w:rPr/>
        <w:t> – форма для ввода сведений о номере телефона справочных служб медицинской организации</w:t>
      </w:r>
    </w:p>
    <w:p>
      <w:pPr>
        <w:pStyle w:val="Head51"/>
        <w:rPr/>
      </w:pPr>
      <w:r>
        <w:rPr>
          <w:b w:val="false"/>
          <w:lang w:bidi="hi-IN"/>
        </w:rPr>
        <w:t>После ввода информации форма примет вид, показанный на рисунке ниже (</w:t>
      </w:r>
      <w:r>
        <w:rPr>
          <w:b w:val="false"/>
          <w:lang w:bidi="hi-IN"/>
        </w:rPr>
        <w:fldChar w:fldCharType="begin"/>
      </w:r>
      <w:r>
        <w:instrText> REF _Ref500945077 \h </w:instrText>
      </w:r>
      <w:r>
        <w:fldChar w:fldCharType="separate"/>
      </w:r>
      <w:r>
        <w:t>Рисунок 5</w:t>
      </w:r>
      <w:r>
        <w:fldChar w:fldCharType="end"/>
      </w:r>
      <w:r>
        <w:rPr>
          <w:b w:val="false"/>
          <w:lang w:bidi="hi-IN"/>
        </w:rPr>
        <w:t>).</w:t>
      </w:r>
    </w:p>
    <w:p>
      <w:pPr>
        <w:pStyle w:val="Head51"/>
        <w:ind w:hanging="0"/>
        <w:rPr>
          <w:b w:val="false"/>
          <w:b w:val="false"/>
          <w:lang w:bidi="hi-IN"/>
        </w:rPr>
      </w:pPr>
      <w:r>
        <w:rPr/>
        <w:drawing>
          <wp:inline distT="0" distB="9525" distL="0" distR="0">
            <wp:extent cx="6480810" cy="885825"/>
            <wp:effectExtent l="0" t="0" r="0" b="0"/>
            <wp:docPr id="5" name="Рисунок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27" w:name="_Ref500945077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</w:t>
      </w:r>
      <w:r>
        <w:fldChar w:fldCharType="end"/>
      </w:r>
      <w:bookmarkEnd w:id="27"/>
      <w:r>
        <w:rPr/>
        <w:t> – Пример формы ввода телефона справочных служб</w:t>
      </w:r>
    </w:p>
    <w:p>
      <w:pPr>
        <w:pStyle w:val="Usual1"/>
        <w:rPr/>
      </w:pPr>
      <w:r>
        <w:rPr/>
        <w:t>Для сохранения информации в Системе следует нажать кнопку «˅». Для отказа от ввода следует нажать кнопку «</w:t>
      </w:r>
      <w:r>
        <w:rPr/>
        <w:drawing>
          <wp:inline distT="0" distB="9525" distL="0" distR="9525">
            <wp:extent cx="314325" cy="352425"/>
            <wp:effectExtent l="0" t="0" r="0" b="0"/>
            <wp:docPr id="6" name="Рисунок 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».</w:t>
      </w:r>
    </w:p>
    <w:p>
      <w:pPr>
        <w:pStyle w:val="Usual1"/>
        <w:rPr/>
      </w:pPr>
      <w:r>
        <w:rPr/>
        <w:t xml:space="preserve">Информация, введенная в личном кабинете, может быть выгружена в файл </w:t>
      </w:r>
      <w:r>
        <w:rPr>
          <w:lang w:val="en-US"/>
        </w:rPr>
        <w:t>Excel</w:t>
      </w:r>
      <w:r>
        <w:rPr/>
        <w:t xml:space="preserve">. Для выгрузки необходимо нажать «Выгрузить в </w:t>
      </w:r>
      <w:r>
        <w:rPr>
          <w:lang w:val="en-US"/>
        </w:rPr>
        <w:t>Excel</w:t>
      </w:r>
      <w:r>
        <w:rPr/>
        <w:t xml:space="preserve">», приложение выгрузит данные в файл в формате таблицы. </w:t>
      </w:r>
    </w:p>
    <w:p>
      <w:pPr>
        <w:pStyle w:val="Usual1"/>
        <w:rPr/>
      </w:pPr>
      <w:r>
        <w:rPr/>
        <w:t>В пунктах информации о графике работы медицинской организации, медицинских работниках открываются отдельные формы ввода, например, как форма заполнения информации о графике приема граждан руководителем медицинской организации (</w:t>
      </w:r>
      <w:r>
        <w:rPr/>
        <w:fldChar w:fldCharType="begin"/>
      </w:r>
      <w:r>
        <w:instrText> REF _Ref500945117 \h </w:instrText>
      </w:r>
      <w:r>
        <w:fldChar w:fldCharType="separate"/>
      </w:r>
      <w:r>
        <w:t>Рисунок 6</w:t>
      </w:r>
      <w:r>
        <w:fldChar w:fldCharType="end"/>
      </w:r>
      <w:r>
        <w:rPr/>
        <w:t>).</w:t>
      </w:r>
    </w:p>
    <w:p>
      <w:pPr>
        <w:pStyle w:val="Usual1"/>
        <w:rPr/>
      </w:pPr>
      <w:r>
        <w:rPr/>
        <w:drawing>
          <wp:inline distT="0" distB="0" distL="0" distR="9525">
            <wp:extent cx="6143625" cy="3295650"/>
            <wp:effectExtent l="0" t="0" r="0" b="0"/>
            <wp:docPr id="7" name="Рисунок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28" w:name="_Ref500945117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6</w:t>
      </w:r>
      <w:r>
        <w:fldChar w:fldCharType="end"/>
      </w:r>
      <w:bookmarkEnd w:id="28"/>
      <w:r>
        <w:rPr/>
        <w:t xml:space="preserve"> – Пример формы ввода графика приема граждан руководителем медицинской организации </w:t>
      </w:r>
    </w:p>
    <w:p>
      <w:pPr>
        <w:pStyle w:val="Usual1"/>
        <w:rPr/>
      </w:pPr>
      <w:r>
        <w:rPr/>
        <w:t>Для сохранения информации в Системе следует нажать кнопку «˅». Для отказа от ввода следует нажать кнопку «</w:t>
      </w:r>
      <w:r>
        <w:rPr/>
        <w:drawing>
          <wp:inline distT="0" distB="0" distL="0" distR="0">
            <wp:extent cx="361950" cy="405765"/>
            <wp:effectExtent l="0" t="0" r="0" b="0"/>
            <wp:docPr id="8" name="Рисунок 5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».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29" w:name="_Toc507529906"/>
      <w:bookmarkStart w:id="30" w:name="_Ref500695050"/>
      <w:bookmarkEnd w:id="29"/>
      <w:bookmarkEnd w:id="30"/>
      <w:r>
        <w:rPr/>
        <w:t>Загрузка документа</w:t>
      </w:r>
    </w:p>
    <w:p>
      <w:pPr>
        <w:pStyle w:val="Usual1"/>
        <w:rPr/>
      </w:pPr>
      <w:r>
        <w:rPr/>
        <w:t>Для загрузки документа следует в поле ввести название документа, например, «О правилах предоставления платных медицинских услуг», как показано ниже (</w:t>
      </w:r>
      <w:r>
        <w:rPr/>
        <w:fldChar w:fldCharType="begin"/>
      </w:r>
      <w:r>
        <w:instrText> REF _Ref500945185 \h </w:instrText>
      </w:r>
      <w:r>
        <w:fldChar w:fldCharType="separate"/>
      </w:r>
      <w:r>
        <w:t>Рисунок 7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0">
            <wp:extent cx="6480810" cy="1870710"/>
            <wp:effectExtent l="0" t="0" r="0" b="0"/>
            <wp:docPr id="9" name="Рисунок 8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31" w:name="_Ref50094518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7</w:t>
      </w:r>
      <w:r>
        <w:fldChar w:fldCharType="end"/>
      </w:r>
      <w:bookmarkEnd w:id="31"/>
      <w:r>
        <w:rPr/>
        <w:t> – Пример ввода документа «О правилах предоставления платных медицинских услуг»</w:t>
      </w:r>
    </w:p>
    <w:p>
      <w:pPr>
        <w:pStyle w:val="Usual1"/>
        <w:rPr/>
      </w:pPr>
      <w:r>
        <w:rPr/>
        <w:t>Далее следует нажать на кнопку «Загрузить документ» и выбрать папку, в которой хранится документ. После загрузки документа в поле «Ссылка на документ» появится соответствующая ссылка.</w:t>
      </w:r>
    </w:p>
    <w:p>
      <w:pPr>
        <w:pStyle w:val="Usual1"/>
        <w:rPr/>
      </w:pPr>
      <w:r>
        <w:rPr/>
        <w:t>Ввод информации в текстовые поля производится аналогично описанному выше (п. 4.1.1).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32" w:name="_Toc507529907"/>
      <w:bookmarkStart w:id="33" w:name="_Ref507503655"/>
      <w:bookmarkEnd w:id="32"/>
      <w:bookmarkEnd w:id="33"/>
      <w:r>
        <w:rPr/>
        <w:t>Пункт меню «Получить баннер»</w:t>
      </w:r>
    </w:p>
    <w:p>
      <w:pPr>
        <w:pStyle w:val="Usual1"/>
        <w:rPr/>
      </w:pPr>
      <w:r>
        <w:rPr>
          <w:rFonts w:eastAsia="Arial Unicode MS"/>
        </w:rPr>
        <w:t>В данном разделе возможно получить код баннера для вставки его на страницу сайта, а также примеры его отображения (</w:t>
      </w:r>
      <w:r>
        <w:rPr>
          <w:rFonts w:eastAsia="Arial Unicode MS"/>
        </w:rPr>
        <w:fldChar w:fldCharType="begin"/>
      </w:r>
      <w:r>
        <w:instrText> REF _Ref507505332 \h </w:instrText>
      </w:r>
      <w:r>
        <w:fldChar w:fldCharType="separate"/>
      </w:r>
      <w:r>
        <w:t>Рисунок 8</w:t>
      </w:r>
      <w:r>
        <w:fldChar w:fldCharType="end"/>
      </w:r>
      <w:r>
        <w:rPr>
          <w:rFonts w:eastAsia="Arial Unicode MS"/>
        </w:rPr>
        <w:t>).</w:t>
      </w:r>
      <w:r>
        <w:rPr/>
        <w:t xml:space="preserve"> </w:t>
      </w:r>
    </w:p>
    <w:p>
      <w:pPr>
        <w:pStyle w:val="Usual1"/>
        <w:ind w:hanging="0"/>
        <w:rPr/>
      </w:pPr>
      <w:r>
        <w:rPr/>
        <w:drawing>
          <wp:inline distT="0" distB="5080" distL="0" distR="0">
            <wp:extent cx="6480810" cy="2909570"/>
            <wp:effectExtent l="0" t="0" r="0" b="0"/>
            <wp:docPr id="10" name="Рисунок 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34" w:name="_Ref507505332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8</w:t>
      </w:r>
      <w:r>
        <w:fldChar w:fldCharType="end"/>
      </w:r>
      <w:bookmarkEnd w:id="34"/>
      <w:r>
        <w:rPr/>
        <w:t xml:space="preserve"> - - Страница "Получить баннер"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35" w:name="_Toc507529908"/>
      <w:bookmarkEnd w:id="35"/>
      <w:r>
        <w:rPr/>
        <w:t>Пункт меню «Медицинские работники»</w:t>
      </w:r>
    </w:p>
    <w:p>
      <w:pPr>
        <w:pStyle w:val="Style37"/>
        <w:ind w:firstLine="567"/>
        <w:jc w:val="both"/>
        <w:rPr>
          <w:rFonts w:eastAsia="Arial Unicode MS"/>
          <w:lang w:eastAsia="zh-CN" w:bidi="hi-IN"/>
        </w:rPr>
      </w:pPr>
      <w:r>
        <w:rPr>
          <w:rFonts w:eastAsia="Arial Unicode MS"/>
          <w:lang w:eastAsia="zh-CN" w:bidi="hi-IN"/>
        </w:rPr>
        <w:t xml:space="preserve">В данном раздел размещается информация о медицинских работниках медицинской организации: ФИО сотрудника, должность, сведения об образовании, специальность, срок действия лицензии. </w:t>
      </w:r>
    </w:p>
    <w:p>
      <w:pPr>
        <w:pStyle w:val="Style37"/>
        <w:ind w:firstLine="567"/>
        <w:jc w:val="both"/>
        <w:rPr/>
      </w:pPr>
      <w:r>
        <w:rPr>
          <w:rFonts w:eastAsia="Arial Unicode MS"/>
          <w:lang w:eastAsia="zh-CN" w:bidi="hi-IN"/>
        </w:rPr>
        <w:t>Строки с информацией о сотрудниках, у которых срок действия лицензии истек, помечается красным цветом (</w:t>
      </w:r>
      <w:r>
        <w:rPr>
          <w:rFonts w:eastAsia="Arial Unicode MS"/>
          <w:lang w:eastAsia="zh-CN" w:bidi="hi-IN"/>
        </w:rPr>
        <w:fldChar w:fldCharType="begin"/>
      </w:r>
      <w:r>
        <w:instrText> REF _Ref507506157 \h </w:instrText>
      </w:r>
      <w:r>
        <w:fldChar w:fldCharType="separate"/>
      </w:r>
      <w:r>
        <w:t>Рисунок 9</w:t>
      </w:r>
      <w:r>
        <w:fldChar w:fldCharType="end"/>
      </w:r>
      <w:r>
        <w:rPr>
          <w:rFonts w:eastAsia="Arial Unicode MS"/>
          <w:lang w:eastAsia="zh-CN" w:bidi="hi-IN"/>
        </w:rPr>
        <w:t>).</w:t>
      </w:r>
    </w:p>
    <w:p>
      <w:pPr>
        <w:pStyle w:val="Style37"/>
        <w:jc w:val="both"/>
        <w:rPr>
          <w:rFonts w:eastAsia="Arial Unicode MS"/>
          <w:lang w:eastAsia="zh-CN" w:bidi="hi-IN"/>
        </w:rPr>
      </w:pPr>
      <w:r>
        <w:rPr>
          <w:rFonts w:eastAsia="Arial Unicode MS"/>
          <w:lang w:eastAsia="zh-CN" w:bidi="hi-IN"/>
        </w:rPr>
      </w:r>
    </w:p>
    <w:p>
      <w:pPr>
        <w:pStyle w:val="Style37"/>
        <w:keepNext/>
        <w:jc w:val="left"/>
        <w:rPr/>
      </w:pPr>
      <w:r>
        <w:rPr/>
        <w:drawing>
          <wp:inline distT="0" distB="0" distL="0" distR="0">
            <wp:extent cx="6480810" cy="2903220"/>
            <wp:effectExtent l="0" t="0" r="0" b="0"/>
            <wp:docPr id="11" name="Рисунок 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/>
      </w:pPr>
      <w:bookmarkStart w:id="36" w:name="_Ref507506157"/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t xml:space="preserve">Рисунок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fldChar w:fldCharType="begin"/>
      </w:r>
      <w:r>
        <w:instrText> SEQ Рисунок \* ARABIC </w:instrText>
      </w:r>
      <w:r>
        <w:fldChar w:fldCharType="separate"/>
      </w:r>
      <w:r>
        <w:t>9</w:t>
      </w:r>
      <w:r>
        <w:fldChar w:fldCharType="end"/>
      </w:r>
      <w:bookmarkEnd w:id="36"/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t xml:space="preserve"> – Страница личного кабинета «Медицинские работники» 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37" w:name="_Toc507529909"/>
      <w:bookmarkEnd w:id="37"/>
      <w:r>
        <w:rPr/>
        <w:t>Просмотр информации, размещаемой на сайте медицинской организации</w:t>
      </w:r>
    </w:p>
    <w:p>
      <w:pPr>
        <w:pStyle w:val="Usual1"/>
        <w:rPr/>
      </w:pPr>
      <w:r>
        <w:rPr/>
        <w:t xml:space="preserve">Просмотреть как введенная в личный кабинет информация будет отображаться на сайте медицинской организации можно при нажатии на кнопку </w:t>
      </w:r>
      <w:r>
        <w:rPr/>
        <w:drawing>
          <wp:inline distT="0" distB="9525" distL="0" distR="0">
            <wp:extent cx="857250" cy="352425"/>
            <wp:effectExtent l="0" t="0" r="0" b="0"/>
            <wp:docPr id="12" name="Рисунок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(</w:t>
      </w:r>
      <w:r>
        <w:rPr/>
        <w:fldChar w:fldCharType="begin"/>
      </w:r>
      <w:r>
        <w:instrText> REF _Ref500944948 \h </w:instrText>
      </w:r>
      <w:r>
        <w:fldChar w:fldCharType="separate"/>
      </w:r>
      <w:r>
        <w:t>Рисунок 3</w:t>
      </w:r>
      <w:r>
        <w:fldChar w:fldCharType="end"/>
      </w:r>
      <w:r>
        <w:rPr/>
        <w:t xml:space="preserve">). </w:t>
      </w:r>
    </w:p>
    <w:p>
      <w:pPr>
        <w:pStyle w:val="Usual1"/>
        <w:rPr/>
      </w:pPr>
      <w:r>
        <w:rPr/>
        <w:t>При нажатии на «просмотр» приложение открывает новую вкладку, которая имеет те же разделы, что и личный кабинет медицинской организации и содержат ту же информацию, которая была введена в личный кабинет (</w:t>
      </w:r>
      <w:r>
        <w:rPr/>
        <w:fldChar w:fldCharType="begin"/>
      </w:r>
      <w:r>
        <w:instrText> REF _Ref507509375 \h </w:instrText>
      </w:r>
      <w:r>
        <w:fldChar w:fldCharType="separate"/>
      </w:r>
      <w:r>
        <w:t>Рисунок 10</w:t>
      </w:r>
      <w:r>
        <w:fldChar w:fldCharType="end"/>
      </w:r>
      <w:r>
        <w:rPr/>
        <w:t xml:space="preserve">). </w:t>
      </w:r>
    </w:p>
    <w:p>
      <w:pPr>
        <w:pStyle w:val="Usual1"/>
        <w:keepNext/>
        <w:ind w:hanging="0"/>
        <w:rPr/>
      </w:pPr>
      <w:r>
        <w:rPr/>
        <w:drawing>
          <wp:inline distT="0" distB="7620" distL="0" distR="0">
            <wp:extent cx="6480810" cy="2887980"/>
            <wp:effectExtent l="0" t="0" r="0" b="0"/>
            <wp:docPr id="13" name="Рисунок 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1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jc w:val="both"/>
        <w:rPr/>
      </w:pPr>
      <w:bookmarkStart w:id="38" w:name="_Ref507509375"/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t xml:space="preserve">Рисунок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fldChar w:fldCharType="begin"/>
      </w:r>
      <w:r>
        <w:instrText> SEQ Рисунок \* ARABIC </w:instrText>
      </w:r>
      <w:r>
        <w:fldChar w:fldCharType="separate"/>
      </w:r>
      <w:r>
        <w:t>10</w:t>
      </w:r>
      <w:r>
        <w:fldChar w:fldCharType="end"/>
      </w:r>
      <w:bookmarkEnd w:id="38"/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t xml:space="preserve"> – Пример отображения информации на странице сайта медицинской организации 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39" w:name="_Toc507529910"/>
      <w:bookmarkEnd w:id="39"/>
      <w:r>
        <w:rPr/>
        <w:t>Сохранение информации в личном кабинете</w:t>
      </w:r>
    </w:p>
    <w:p>
      <w:pPr>
        <w:pStyle w:val="Style37"/>
        <w:ind w:firstLine="567"/>
        <w:jc w:val="both"/>
        <w:rPr/>
      </w:pPr>
      <w:r>
        <w:rPr>
          <w:rFonts w:eastAsia="Arial Unicode MS"/>
          <w:lang w:eastAsia="zh-CN" w:bidi="hi-IN"/>
        </w:rPr>
        <w:t xml:space="preserve">Перед окончанием работы в личном кабинете по заполнению разделов или при периодическом обновлении данных в личном кабинете необходимо сохранить внесенные изменения. Сохранение информации осуществляется при нажатии на кнопку </w:t>
      </w:r>
      <w:r>
        <w:rPr>
          <w:rFonts w:eastAsia="Arial Unicode MS"/>
          <w:lang w:eastAsia="zh-CN" w:bidi="hi-IN"/>
        </w:rPr>
        <w:drawing>
          <wp:inline distT="0" distB="0" distL="0" distR="9525">
            <wp:extent cx="847725" cy="323850"/>
            <wp:effectExtent l="0" t="0" r="0" b="0"/>
            <wp:docPr id="14" name="Рисунок 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7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 Unicode MS"/>
          <w:lang w:eastAsia="zh-CN" w:bidi="hi-IN"/>
        </w:rPr>
        <w:t xml:space="preserve">(см. </w:t>
      </w:r>
      <w:r>
        <w:rPr>
          <w:rFonts w:eastAsia="Arial Unicode MS"/>
          <w:lang w:eastAsia="zh-CN" w:bidi="hi-IN"/>
        </w:rPr>
        <w:fldChar w:fldCharType="begin"/>
      </w:r>
      <w:r>
        <w:instrText> REF _Ref500944948 \h </w:instrText>
      </w:r>
      <w:r>
        <w:fldChar w:fldCharType="separate"/>
      </w:r>
      <w:r>
        <w:t>Рисунок 3</w:t>
      </w:r>
      <w:r>
        <w:fldChar w:fldCharType="end"/>
      </w:r>
      <w:r>
        <w:rPr>
          <w:rFonts w:eastAsia="Arial Unicode MS"/>
          <w:lang w:eastAsia="zh-CN" w:bidi="hi-IN"/>
        </w:rPr>
        <w:t xml:space="preserve">). </w:t>
      </w:r>
    </w:p>
    <w:p>
      <w:pPr>
        <w:pStyle w:val="Style37"/>
        <w:ind w:firstLine="567"/>
        <w:jc w:val="both"/>
        <w:rPr>
          <w:rFonts w:eastAsia="Arial Unicode MS"/>
          <w:lang w:eastAsia="zh-CN" w:bidi="hi-IN"/>
        </w:rPr>
      </w:pPr>
      <w:r>
        <w:rPr>
          <w:rFonts w:eastAsia="Arial Unicode MS"/>
          <w:lang w:eastAsia="zh-CN" w:bidi="hi-IN"/>
        </w:rPr>
      </w:r>
    </w:p>
    <w:p>
      <w:pPr>
        <w:pStyle w:val="Head2"/>
        <w:numPr>
          <w:ilvl w:val="1"/>
          <w:numId w:val="5"/>
        </w:numPr>
        <w:rPr/>
      </w:pPr>
      <w:bookmarkStart w:id="40" w:name="_Toc507529911"/>
      <w:bookmarkEnd w:id="40"/>
      <w:r>
        <w:rPr>
          <w:shd w:fill="FFFFFF" w:val="clear"/>
        </w:rPr>
        <w:t>Личный кабинет органа государственной власти (ОГВ)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41" w:name="_Toc507529912"/>
      <w:bookmarkEnd w:id="41"/>
      <w:r>
        <w:rPr/>
        <w:t>Вход и авторизация</w:t>
      </w:r>
    </w:p>
    <w:p>
      <w:pPr>
        <w:pStyle w:val="Usual1"/>
        <w:rPr/>
      </w:pPr>
      <w:r>
        <w:rPr/>
        <w:t>Для авторизации в Системе следует:</w:t>
      </w:r>
    </w:p>
    <w:p>
      <w:pPr>
        <w:pStyle w:val="Style34"/>
        <w:numPr>
          <w:ilvl w:val="0"/>
          <w:numId w:val="2"/>
        </w:numPr>
        <w:rPr/>
      </w:pPr>
      <w:r>
        <w:rPr/>
        <w:t>запустить интернет-браузер;</w:t>
      </w:r>
    </w:p>
    <w:p>
      <w:pPr>
        <w:pStyle w:val="Style34"/>
        <w:numPr>
          <w:ilvl w:val="0"/>
          <w:numId w:val="2"/>
        </w:numPr>
        <w:rPr/>
      </w:pPr>
      <w:r>
        <w:rPr/>
        <w:t>ввести в адресную строку браузера адрес Системы;</w:t>
      </w:r>
    </w:p>
    <w:p>
      <w:pPr>
        <w:pStyle w:val="Style34"/>
        <w:numPr>
          <w:ilvl w:val="0"/>
          <w:numId w:val="2"/>
        </w:numPr>
        <w:rPr/>
      </w:pPr>
      <w:r>
        <w:rPr/>
        <w:t>дождаться полной загрузки стартовой страницы (</w:t>
      </w:r>
      <w:r>
        <w:rPr/>
        <w:fldChar w:fldCharType="begin"/>
      </w:r>
      <w:r>
        <w:instrText> REF _Ref500945266 \h </w:instrText>
      </w:r>
      <w:r>
        <w:fldChar w:fldCharType="separate"/>
      </w:r>
      <w:r>
        <w:t>Рисунок 11</w:t>
      </w:r>
      <w:r>
        <w:fldChar w:fldCharType="end"/>
      </w:r>
      <w:r>
        <w:rPr/>
        <w:t>);</w:t>
      </w:r>
    </w:p>
    <w:p>
      <w:pPr>
        <w:pStyle w:val="Style36"/>
        <w:rPr/>
      </w:pPr>
      <w:r>
        <w:rPr/>
        <w:drawing>
          <wp:inline distT="0" distB="0" distL="0" distR="635">
            <wp:extent cx="4228465" cy="4441190"/>
            <wp:effectExtent l="0" t="0" r="0" b="0"/>
            <wp:docPr id="15" name="Рисунок 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3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42" w:name="_Ref500945266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11</w:t>
      </w:r>
      <w:r>
        <w:fldChar w:fldCharType="end"/>
      </w:r>
      <w:bookmarkEnd w:id="42"/>
      <w:r>
        <w:rPr/>
        <w:t xml:space="preserve"> - Стартовая страница </w:t>
      </w:r>
      <w:r>
        <w:rPr>
          <w:shd w:fill="FFFFFF" w:val="clear"/>
        </w:rPr>
        <w:t>личного кабинет (ОГВ)</w:t>
      </w:r>
    </w:p>
    <w:p>
      <w:pPr>
        <w:pStyle w:val="Style34"/>
        <w:numPr>
          <w:ilvl w:val="0"/>
          <w:numId w:val="0"/>
        </w:numPr>
        <w:ind w:left="851" w:hanging="0"/>
        <w:rPr/>
      </w:pPr>
      <w:r>
        <w:rPr/>
        <w:t>Далее следует ввести соответствующие значения в поля Логин и Пароль и</w:t>
      </w:r>
    </w:p>
    <w:p>
      <w:pPr>
        <w:pStyle w:val="Normal"/>
        <w:suppressAutoHyphens w:val="true"/>
        <w:spacing w:lineRule="auto" w:line="360" w:before="0" w:after="0"/>
        <w:jc w:val="both"/>
        <w:rPr/>
      </w:pPr>
      <w:r>
        <w:rPr>
          <w:rStyle w:val="Style15"/>
        </w:rPr>
        <w:t>нажать кнопку «Войти». Будет загружена главная страница личного кабинета сотрудника ОГВ (</w:t>
      </w:r>
      <w:r>
        <w:rPr>
          <w:rStyle w:val="Style15"/>
        </w:rPr>
        <w:fldChar w:fldCharType="begin"/>
      </w:r>
      <w:r>
        <w:instrText> REF _Ref500945325 \h </w:instrText>
      </w:r>
      <w:r>
        <w:fldChar w:fldCharType="separate"/>
      </w:r>
      <w:r>
        <w:t>Рисунок 12</w:t>
      </w:r>
      <w:r>
        <w:fldChar w:fldCharType="end"/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Style36"/>
        <w:rPr/>
      </w:pPr>
      <w:r>
        <w:rPr/>
        <w:drawing>
          <wp:inline distT="0" distB="0" distL="0" distR="0">
            <wp:extent cx="6480810" cy="2862580"/>
            <wp:effectExtent l="0" t="0" r="0" b="0"/>
            <wp:docPr id="16" name="Рисунок 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46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Style37"/>
        <w:rPr/>
      </w:pPr>
      <w:bookmarkStart w:id="43" w:name="_Ref50094532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12</w:t>
      </w:r>
      <w:r>
        <w:fldChar w:fldCharType="end"/>
      </w:r>
      <w:bookmarkEnd w:id="43"/>
      <w:r>
        <w:rPr/>
        <w:t> – Главное окно Личный кабинет ОГВ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44" w:name="_Toc507529913"/>
      <w:r>
        <w:rPr/>
        <w:t>Главная страница Личного кабинета ОГВ</w:t>
      </w:r>
      <w:bookmarkEnd w:id="44"/>
      <w:r>
        <w:rPr/>
        <w:t xml:space="preserve"> </w:t>
      </w:r>
    </w:p>
    <w:p>
      <w:pPr>
        <w:pStyle w:val="Usual1"/>
        <w:rPr/>
      </w:pPr>
      <w:r>
        <w:rPr/>
        <w:t>Главное окно Личного кабинета ОГВ содержит кнопки перехода к страницам разделов:</w:t>
      </w:r>
    </w:p>
    <w:p>
      <w:pPr>
        <w:pStyle w:val="Style34"/>
        <w:numPr>
          <w:ilvl w:val="0"/>
          <w:numId w:val="2"/>
        </w:numPr>
        <w:rPr/>
      </w:pPr>
      <w:r>
        <w:rPr/>
        <w:t>«Результаты анкетирования»;</w:t>
      </w:r>
    </w:p>
    <w:p>
      <w:pPr>
        <w:pStyle w:val="Style34"/>
        <w:numPr>
          <w:ilvl w:val="0"/>
          <w:numId w:val="2"/>
        </w:numPr>
        <w:rPr/>
      </w:pPr>
      <w:r>
        <w:rPr/>
        <w:t>«Медицинские организации»;</w:t>
      </w:r>
    </w:p>
    <w:p>
      <w:pPr>
        <w:pStyle w:val="Style34"/>
        <w:numPr>
          <w:ilvl w:val="0"/>
          <w:numId w:val="2"/>
        </w:numPr>
        <w:rPr/>
      </w:pPr>
      <w:r>
        <w:rPr/>
        <w:t>«Информация для пациентов»;</w:t>
      </w:r>
    </w:p>
    <w:p>
      <w:pPr>
        <w:pStyle w:val="Style34"/>
        <w:numPr>
          <w:ilvl w:val="0"/>
          <w:numId w:val="2"/>
        </w:numPr>
        <w:rPr/>
      </w:pPr>
      <w:r>
        <w:rPr/>
        <w:t>«Диспансеризация»;</w:t>
      </w:r>
    </w:p>
    <w:p>
      <w:pPr>
        <w:pStyle w:val="Style34"/>
        <w:numPr>
          <w:ilvl w:val="0"/>
          <w:numId w:val="2"/>
        </w:numPr>
        <w:rPr/>
      </w:pPr>
      <w:r>
        <w:rPr/>
        <w:t>«Вышестоящие и контролирующие органы»;</w:t>
      </w:r>
    </w:p>
    <w:p>
      <w:pPr>
        <w:pStyle w:val="Style34"/>
        <w:numPr>
          <w:ilvl w:val="0"/>
          <w:numId w:val="2"/>
        </w:numPr>
        <w:rPr/>
      </w:pPr>
      <w:r>
        <w:rPr/>
        <w:t>«Документы»;</w:t>
      </w:r>
    </w:p>
    <w:p>
      <w:pPr>
        <w:pStyle w:val="Style34"/>
        <w:numPr>
          <w:ilvl w:val="0"/>
          <w:numId w:val="2"/>
        </w:numPr>
        <w:rPr/>
      </w:pPr>
      <w:r>
        <w:rPr/>
        <w:t xml:space="preserve">«Администрирование». </w:t>
      </w:r>
    </w:p>
    <w:p>
      <w:pPr>
        <w:pStyle w:val="Usual1"/>
        <w:rPr/>
      </w:pPr>
      <w:r>
        <w:rPr/>
        <w:t xml:space="preserve">Главная страница отображает результаты анкетирования медицинских организаций, подведомственных ОГВ. </w:t>
      </w:r>
    </w:p>
    <w:p>
      <w:pPr>
        <w:pStyle w:val="Usual1"/>
        <w:rPr/>
      </w:pPr>
      <w:r>
        <w:rPr/>
        <w:t xml:space="preserve">Для сортировки списка по одному из показателей (например, «%, (Приказ 956н)» необходимо кликнуть левой кнопкой мыши на наименование графы с нужным показателем, по которому необходимо отсортировать таблицу со списком медицинских организаций. </w:t>
      </w:r>
    </w:p>
    <w:p>
      <w:pPr>
        <w:pStyle w:val="Usual1"/>
        <w:rPr/>
      </w:pPr>
      <w:r>
        <w:rPr/>
        <w:t xml:space="preserve">Стрелка ↑ означает, что список отсортирован по убыванию значений показателей в графе. </w:t>
      </w:r>
    </w:p>
    <w:p>
      <w:pPr>
        <w:pStyle w:val="Usual1"/>
        <w:rPr/>
      </w:pPr>
      <w:r>
        <w:rPr/>
        <w:t xml:space="preserve">Стрелка ↓ означает, что список отсортирован по возрастанию значений показателей в графе. </w:t>
      </w:r>
    </w:p>
    <w:p>
      <w:pPr>
        <w:pStyle w:val="Style34"/>
        <w:numPr>
          <w:ilvl w:val="0"/>
          <w:numId w:val="0"/>
        </w:numPr>
        <w:ind w:firstLine="567"/>
        <w:rPr/>
      </w:pPr>
      <w:r>
        <w:rPr/>
        <w:t>Наименование организации в списке представляет собой гиперссылку на страницу Портала НОК данной организации. Под наименованием медицинской организации расположен адрес страницы в виде ссылки. При нажатии этой ссылки открывается официальный сайт медицинской организации.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45" w:name="_Toc507529914"/>
      <w:bookmarkEnd w:id="45"/>
      <w:r>
        <w:rPr/>
        <w:t>Раздел «Результаты анкетирования»</w:t>
      </w:r>
    </w:p>
    <w:p>
      <w:pPr>
        <w:pStyle w:val="Style34"/>
        <w:numPr>
          <w:ilvl w:val="0"/>
          <w:numId w:val="0"/>
        </w:numPr>
        <w:ind w:firstLine="567"/>
        <w:rPr/>
      </w:pPr>
      <w:r>
        <w:rPr/>
        <w:t xml:space="preserve">В разделе в табличной форме отражены результаты подсчета баллов НОК на основании заполненных анкет независимой оценки качества. В систему загружаются данные по интерактивным и бумажным анкетам. Для перехода в режим витрины данных НОК нужно выбрать одно из условий оказания медицинской помощи: амбулаторные, стационарные, психиатрия, санатории, и вид анкет, нажать соответствующие анкетам ячейки таблицы «Всего», «Интерактивные», «Бумажные». При нажатии на ссылку система откроет раздел витрины данных, соответствующий выбранным параметрам. Возможности работы с режимом витрины данных приведены в п. </w:t>
      </w:r>
      <w:r>
        <w:rPr/>
        <w:fldChar w:fldCharType="begin"/>
      </w:r>
      <w:r>
        <w:instrText> REF _Ref507530451 \r \h </w:instrText>
      </w:r>
      <w:r>
        <w:fldChar w:fldCharType="separate"/>
      </w:r>
      <w:r>
        <w:t>1.1</w:t>
      </w:r>
      <w:r>
        <w:fldChar w:fldCharType="end"/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46" w:name="_Toc507529915"/>
      <w:bookmarkEnd w:id="46"/>
      <w:r>
        <w:rPr/>
        <w:t>Раздел «Администрирование»</w:t>
      </w:r>
    </w:p>
    <w:p>
      <w:pPr>
        <w:pStyle w:val="Usual1"/>
        <w:rPr/>
      </w:pPr>
      <w:r>
        <w:rPr/>
        <w:t xml:space="preserve">В разделе «Администрирование» вводятся информация о пользователях личных кабинетов, присваивается логин и пароль доступа, права доступа. Уровень доступа позволяет определить категорию личного кабинета, к которому предоставляется доступ пользователю. Ввод информации аналогичен описанному в п. </w:t>
      </w:r>
      <w:r>
        <w:rPr/>
        <w:fldChar w:fldCharType="begin"/>
      </w:r>
      <w:r>
        <w:instrText> REF _Ref500694681 \r \h </w:instrText>
      </w:r>
      <w:r>
        <w:fldChar w:fldCharType="separate"/>
      </w:r>
      <w:r>
        <w:t>4.1.3</w:t>
      </w:r>
      <w:r>
        <w:fldChar w:fldCharType="end"/>
      </w:r>
      <w:r>
        <w:rPr/>
        <w:t>.</w:t>
      </w:r>
    </w:p>
    <w:p>
      <w:pPr>
        <w:pStyle w:val="Usual1"/>
        <w:rPr/>
      </w:pPr>
      <w:r>
        <w:rPr/>
        <w:t xml:space="preserve">Описание ролевых моделей пользователей представлено в документе </w:t>
      </w:r>
      <w:bookmarkStart w:id="47" w:name="_Hlk507528695"/>
      <w:r>
        <w:rPr/>
        <w:t>«Ролевая модель доступа пользователей системы «Мониторинг НОК» для раздела "Администрирование"» (</w:t>
      </w:r>
      <w:r>
        <w:fldChar w:fldCharType="begin"/>
      </w:r>
      <w:r>
        <w:instrText> HYPERLINK "http://noktest.nitrosbase.com/instr/userspermissions" \l "levels"</w:instrText>
      </w:r>
      <w:r>
        <w:fldChar w:fldCharType="separate"/>
      </w:r>
      <w:r>
        <w:rPr>
          <w:rStyle w:val="Style21"/>
        </w:rPr>
        <w:t>http://noktest.nitrosbase.com/instr/userspermissions#levels</w:t>
      </w:r>
      <w:r>
        <w:fldChar w:fldCharType="end"/>
      </w:r>
      <w:bookmarkEnd w:id="47"/>
      <w:r>
        <w:rPr/>
        <w:t xml:space="preserve">). 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48" w:name="_Toc507529916"/>
      <w:bookmarkEnd w:id="48"/>
      <w:r>
        <w:rPr/>
        <w:t>Ввод текстовой информации</w:t>
      </w:r>
    </w:p>
    <w:p>
      <w:pPr>
        <w:pStyle w:val="Usual1"/>
        <w:rPr/>
      </w:pPr>
      <w:r>
        <w:rPr/>
        <w:t xml:space="preserve">Ввод текстовой информации полностью аналогичен описанному ранее (п. </w:t>
      </w:r>
      <w:r>
        <w:rPr/>
        <w:fldChar w:fldCharType="begin"/>
      </w:r>
      <w:r>
        <w:instrText> REF _Ref500694681 \r \h </w:instrText>
      </w:r>
      <w:r>
        <w:fldChar w:fldCharType="separate"/>
      </w:r>
      <w:r>
        <w:t>4.1.3</w:t>
      </w:r>
      <w:r>
        <w:fldChar w:fldCharType="end"/>
      </w:r>
      <w:r>
        <w:rPr/>
        <w:t>).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49" w:name="_Toc507529917"/>
      <w:bookmarkEnd w:id="49"/>
      <w:r>
        <w:rPr/>
        <w:t>Загрузка документа</w:t>
      </w:r>
    </w:p>
    <w:p>
      <w:pPr>
        <w:pStyle w:val="Usual1"/>
        <w:rPr/>
      </w:pPr>
      <w:r>
        <w:rPr/>
        <w:t xml:space="preserve">Загрузка документа полностью аналогична описанной ранее (п. </w:t>
      </w:r>
      <w:r>
        <w:rPr/>
        <w:fldChar w:fldCharType="begin"/>
      </w:r>
      <w:r>
        <w:instrText> REF _Ref500695050 \r \h </w:instrText>
      </w:r>
      <w:r>
        <w:fldChar w:fldCharType="separate"/>
      </w:r>
      <w:r>
        <w:t>4.1.4</w:t>
      </w:r>
      <w:r>
        <w:fldChar w:fldCharType="end"/>
      </w:r>
      <w:r>
        <w:rPr/>
        <w:t xml:space="preserve"> ).</w:t>
      </w:r>
    </w:p>
    <w:p>
      <w:pPr>
        <w:pStyle w:val="Head2"/>
        <w:numPr>
          <w:ilvl w:val="1"/>
          <w:numId w:val="5"/>
        </w:numPr>
        <w:rPr/>
      </w:pPr>
      <w:bookmarkStart w:id="50" w:name="_Toc507529918"/>
      <w:bookmarkEnd w:id="50"/>
      <w:r>
        <w:rPr/>
        <w:t>Личный кабинет сотрудника Минздрава РФ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51" w:name="OLE_LINK212"/>
      <w:bookmarkStart w:id="52" w:name="OLE_LINK211"/>
      <w:bookmarkStart w:id="53" w:name="_Toc507529919"/>
      <w:bookmarkStart w:id="54" w:name="_Toc500676931"/>
      <w:bookmarkEnd w:id="51"/>
      <w:bookmarkEnd w:id="52"/>
      <w:r>
        <w:rPr/>
        <w:t>Вход и авторизация</w:t>
      </w:r>
      <w:bookmarkEnd w:id="53"/>
      <w:bookmarkEnd w:id="54"/>
      <w:r>
        <w:rPr/>
        <w:t xml:space="preserve"> </w:t>
      </w:r>
    </w:p>
    <w:p>
      <w:pPr>
        <w:pStyle w:val="Usual1"/>
        <w:rPr/>
      </w:pPr>
      <w:bookmarkStart w:id="55" w:name="_Toc500676932"/>
      <w:bookmarkEnd w:id="55"/>
      <w:r>
        <w:rPr/>
        <w:t>Для авторизации в Системе следует:</w:t>
      </w:r>
    </w:p>
    <w:p>
      <w:pPr>
        <w:pStyle w:val="Style34"/>
        <w:numPr>
          <w:ilvl w:val="0"/>
          <w:numId w:val="2"/>
        </w:numPr>
        <w:rPr/>
      </w:pPr>
      <w:r>
        <w:rPr/>
        <w:t>запустить интернет-браузер;</w:t>
      </w:r>
    </w:p>
    <w:p>
      <w:pPr>
        <w:pStyle w:val="Style34"/>
        <w:keepNext/>
        <w:numPr>
          <w:ilvl w:val="0"/>
          <w:numId w:val="2"/>
        </w:numPr>
        <w:rPr>
          <w:sz w:val="26"/>
          <w:szCs w:val="26"/>
        </w:rPr>
      </w:pPr>
      <w:r>
        <w:rPr/>
        <w:t>ввести в адресную строку браузера адрес Системы;</w:t>
      </w:r>
      <w:r>
        <w:rPr>
          <w:sz w:val="26"/>
          <w:szCs w:val="26"/>
          <w:lang w:eastAsia="ru-RU"/>
        </w:rPr>
        <w:t xml:space="preserve"> </w:t>
      </w:r>
    </w:p>
    <w:p>
      <w:pPr>
        <w:pStyle w:val="Style34"/>
        <w:numPr>
          <w:ilvl w:val="0"/>
          <w:numId w:val="2"/>
        </w:numPr>
        <w:rPr/>
      </w:pPr>
      <w:r>
        <w:rPr/>
        <w:t>дождаться полной загрузки стартовой страницы (</w:t>
      </w:r>
      <w:r>
        <w:rPr/>
        <w:fldChar w:fldCharType="begin"/>
      </w:r>
      <w:r>
        <w:instrText> REF _Ref500945414 \h </w:instrText>
      </w:r>
      <w:r>
        <w:fldChar w:fldCharType="separate"/>
      </w:r>
      <w:r>
        <w:t>Рисунок 13</w:t>
      </w:r>
      <w:r>
        <w:fldChar w:fldCharType="end"/>
      </w:r>
      <w:r>
        <w:rPr/>
        <w:t>);</w:t>
      </w:r>
    </w:p>
    <w:p>
      <w:pPr>
        <w:pStyle w:val="Normal"/>
        <w:keepNext/>
        <w:spacing w:before="0" w:after="0"/>
        <w:ind w:firstLine="1843"/>
        <w:jc w:val="both"/>
        <w:rPr/>
      </w:pPr>
      <w:r>
        <w:rPr/>
        <w:drawing>
          <wp:inline distT="0" distB="0" distL="0" distR="635">
            <wp:extent cx="4228465" cy="4441190"/>
            <wp:effectExtent l="0" t="0" r="0" b="0"/>
            <wp:docPr id="17" name="Рисунок 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53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56" w:name="_Ref500945414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13</w:t>
      </w:r>
      <w:r>
        <w:fldChar w:fldCharType="end"/>
      </w:r>
      <w:bookmarkEnd w:id="56"/>
      <w:r>
        <w:rPr>
          <w:sz w:val="26"/>
          <w:szCs w:val="26"/>
        </w:rPr>
        <w:t xml:space="preserve"> – Стартовая страница </w:t>
      </w:r>
      <w:r>
        <w:rPr/>
        <w:t>Личного кабинета сотрудника Минздрава РФ</w:t>
      </w:r>
    </w:p>
    <w:p>
      <w:pPr>
        <w:pStyle w:val="Style34"/>
        <w:numPr>
          <w:ilvl w:val="0"/>
          <w:numId w:val="2"/>
        </w:numPr>
        <w:rPr/>
      </w:pPr>
      <w:r>
        <w:rPr/>
        <w:t>ввести соответствующие значения в поля Логин и Пароль;</w:t>
      </w:r>
    </w:p>
    <w:p>
      <w:pPr>
        <w:pStyle w:val="Style34"/>
        <w:numPr>
          <w:ilvl w:val="0"/>
          <w:numId w:val="2"/>
        </w:numPr>
        <w:rPr/>
      </w:pPr>
      <w:r>
        <w:rPr/>
        <w:t>нажать кнопку «Войти», будет загружена главная страница Системы (</w:t>
      </w:r>
      <w:r>
        <w:rPr/>
        <w:fldChar w:fldCharType="begin"/>
      </w:r>
      <w:r>
        <w:instrText> REF _Ref500945472 \h </w:instrText>
      </w:r>
      <w:r>
        <w:fldChar w:fldCharType="separate"/>
      </w:r>
      <w:r>
        <w:t>Рисунок 14</w:t>
      </w:r>
      <w:r>
        <w:fldChar w:fldCharType="end"/>
      </w:r>
      <w:r>
        <w:rPr/>
        <w:t>);</w:t>
      </w:r>
    </w:p>
    <w:p>
      <w:pPr>
        <w:pStyle w:val="Normal"/>
        <w:keepNext/>
        <w:suppressAutoHyphens w:val="true"/>
        <w:spacing w:lineRule="auto" w:line="360" w:before="0" w:after="0"/>
        <w:jc w:val="both"/>
        <w:rPr/>
      </w:pPr>
      <w:r>
        <w:rPr/>
        <w:drawing>
          <wp:inline distT="0" distB="0" distL="0" distR="0">
            <wp:extent cx="6480810" cy="2726055"/>
            <wp:effectExtent l="0" t="0" r="0" b="0"/>
            <wp:docPr id="18" name="Рисунок 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74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Style37"/>
        <w:rPr/>
      </w:pPr>
      <w:bookmarkStart w:id="57" w:name="_Ref500945472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14</w:t>
      </w:r>
      <w:r>
        <w:fldChar w:fldCharType="end"/>
      </w:r>
      <w:bookmarkEnd w:id="57"/>
      <w:r>
        <w:rPr/>
        <w:t> – Главная страница личного кабинета сотрудника Минздрава РФ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58" w:name="_Toc507529920"/>
      <w:bookmarkEnd w:id="58"/>
      <w:r>
        <w:rPr/>
        <w:t>Главная страница Личного кабинета сотрудника Минздрава РФ</w:t>
      </w:r>
    </w:p>
    <w:p>
      <w:pPr>
        <w:pStyle w:val="Usual1"/>
        <w:rPr/>
      </w:pPr>
      <w:r>
        <w:rPr/>
        <w:t>Главное окно Личного кабинета сотрудника Минздрава РФ содержит кнопки перехода к страницам разделов:</w:t>
      </w:r>
    </w:p>
    <w:p>
      <w:pPr>
        <w:pStyle w:val="Style34"/>
        <w:numPr>
          <w:ilvl w:val="0"/>
          <w:numId w:val="2"/>
        </w:numPr>
        <w:rPr/>
      </w:pPr>
      <w:r>
        <w:rPr/>
        <w:t>«Федеральные медицинские организации»;</w:t>
      </w:r>
    </w:p>
    <w:p>
      <w:pPr>
        <w:pStyle w:val="Style34"/>
        <w:numPr>
          <w:ilvl w:val="0"/>
          <w:numId w:val="2"/>
        </w:numPr>
        <w:rPr/>
      </w:pPr>
      <w:r>
        <w:rPr/>
        <w:t>«Медицинские организации»;</w:t>
      </w:r>
    </w:p>
    <w:p>
      <w:pPr>
        <w:pStyle w:val="Style34"/>
        <w:numPr>
          <w:ilvl w:val="0"/>
          <w:numId w:val="2"/>
        </w:numPr>
        <w:rPr/>
      </w:pPr>
      <w:r>
        <w:rPr/>
        <w:t>«Информация для пациентов»;</w:t>
      </w:r>
    </w:p>
    <w:p>
      <w:pPr>
        <w:pStyle w:val="Style34"/>
        <w:numPr>
          <w:ilvl w:val="0"/>
          <w:numId w:val="2"/>
        </w:numPr>
        <w:rPr/>
      </w:pPr>
      <w:r>
        <w:rPr/>
        <w:t>«Диспансеризация»;</w:t>
      </w:r>
    </w:p>
    <w:p>
      <w:pPr>
        <w:pStyle w:val="Style34"/>
        <w:numPr>
          <w:ilvl w:val="0"/>
          <w:numId w:val="2"/>
        </w:numPr>
        <w:rPr/>
      </w:pPr>
      <w:r>
        <w:rPr/>
        <w:t>«Документы»;</w:t>
      </w:r>
    </w:p>
    <w:p>
      <w:pPr>
        <w:pStyle w:val="Style34"/>
        <w:numPr>
          <w:ilvl w:val="0"/>
          <w:numId w:val="2"/>
        </w:numPr>
        <w:rPr/>
      </w:pPr>
      <w:r>
        <w:rPr/>
        <w:t>«Результаты анкетирования»;</w:t>
      </w:r>
    </w:p>
    <w:p>
      <w:pPr>
        <w:pStyle w:val="Style34"/>
        <w:numPr>
          <w:ilvl w:val="0"/>
          <w:numId w:val="2"/>
        </w:numPr>
        <w:rPr/>
      </w:pPr>
      <w:r>
        <w:rPr/>
        <w:t>«Администрирование системы»;</w:t>
      </w:r>
    </w:p>
    <w:p>
      <w:pPr>
        <w:pStyle w:val="Style34"/>
        <w:numPr>
          <w:ilvl w:val="0"/>
          <w:numId w:val="0"/>
        </w:numPr>
        <w:ind w:firstLine="709"/>
        <w:rPr/>
      </w:pPr>
      <w:r>
        <w:rPr/>
        <w:t xml:space="preserve">Главная страница представляет собой таблицу с результатами НОК оказания медицинской помощи регионов Российской Федерации. </w:t>
      </w:r>
    </w:p>
    <w:p>
      <w:pPr>
        <w:pStyle w:val="Style34"/>
        <w:numPr>
          <w:ilvl w:val="0"/>
          <w:numId w:val="0"/>
        </w:numPr>
        <w:ind w:firstLine="709"/>
        <w:rPr/>
      </w:pPr>
      <w:r>
        <w:rPr/>
        <w:t>Наименование региона – это гиперссылка на страницу региона на портале НОК.</w:t>
      </w:r>
    </w:p>
    <w:p>
      <w:pPr>
        <w:pStyle w:val="Style34"/>
        <w:numPr>
          <w:ilvl w:val="0"/>
          <w:numId w:val="0"/>
        </w:numPr>
        <w:ind w:firstLine="709"/>
        <w:rPr/>
      </w:pPr>
      <w:r>
        <w:rPr/>
        <w:t>Для перехода на страницу ОГВ, курирующего медицинские организации федерального значения, нужно нажать кнопку «Федеральные медицинские организации».</w:t>
      </w:r>
    </w:p>
    <w:p>
      <w:pPr>
        <w:pStyle w:val="Style34"/>
        <w:numPr>
          <w:ilvl w:val="0"/>
          <w:numId w:val="0"/>
        </w:numPr>
        <w:ind w:firstLine="709"/>
        <w:rPr/>
      </w:pPr>
      <w:r>
        <w:rPr/>
        <w:t xml:space="preserve">Для перехода на страницу редактирования списка медицинских организаций регионов нужно нажать кнопку «Медицинские организации». </w:t>
      </w:r>
    </w:p>
    <w:p>
      <w:pPr>
        <w:pStyle w:val="Usual1"/>
        <w:rPr/>
      </w:pPr>
      <w:r>
        <w:rPr/>
        <w:t xml:space="preserve">Для сортировки списка регионов или медицинских организаций по одному из показателей необходимо кликнуть левой кнопкой мыши на наименование графы с нужным показателем, по которому необходимо отсортировать таблицу. </w:t>
      </w:r>
    </w:p>
    <w:p>
      <w:pPr>
        <w:pStyle w:val="Usual1"/>
        <w:rPr/>
      </w:pPr>
      <w:r>
        <w:rPr/>
        <w:t xml:space="preserve">Стрелка ↑ означает, что список отсортирован по убыванию значений показателей в графе. </w:t>
      </w:r>
    </w:p>
    <w:p>
      <w:pPr>
        <w:pStyle w:val="Usual1"/>
        <w:rPr/>
      </w:pPr>
      <w:r>
        <w:rPr/>
        <w:t xml:space="preserve">Стрелка ↓ означает, что список отсортирован по возрастанию значений показателей в графе. </w:t>
      </w:r>
    </w:p>
    <w:p>
      <w:pPr>
        <w:pStyle w:val="Style34"/>
        <w:numPr>
          <w:ilvl w:val="0"/>
          <w:numId w:val="0"/>
        </w:numPr>
        <w:ind w:firstLine="567"/>
        <w:rPr/>
      </w:pPr>
      <w:r>
        <w:rPr/>
        <w:t>Наименование организации в списке представляет собой гиперссылку на страницу Портала НОК данной организации. Под наименованием медицинской организации расположен адрес страницы в виде ссылки. При нажатии этой ссылки открывается официальный сайт медицинской организации.</w:t>
      </w:r>
    </w:p>
    <w:p>
      <w:pPr>
        <w:pStyle w:val="Head31"/>
        <w:numPr>
          <w:ilvl w:val="2"/>
          <w:numId w:val="6"/>
        </w:numPr>
        <w:ind w:left="0" w:firstLine="851"/>
        <w:rPr/>
      </w:pPr>
      <w:bookmarkStart w:id="59" w:name="_Toc507529921"/>
      <w:bookmarkEnd w:id="59"/>
      <w:r>
        <w:rPr/>
        <w:t>Раздел «Результаты анкетирования»</w:t>
      </w:r>
    </w:p>
    <w:p>
      <w:pPr>
        <w:pStyle w:val="Style34"/>
        <w:numPr>
          <w:ilvl w:val="0"/>
          <w:numId w:val="0"/>
        </w:numPr>
        <w:ind w:firstLine="567"/>
        <w:rPr/>
      </w:pPr>
      <w:r>
        <w:rPr/>
        <w:t xml:space="preserve">В разделе в табличной форме отражены результаты подсчета баллов НОК на основании заполненных анкет независимой оценки качества. В систему загружаются данные по интерактивным и бумажным анкетам. Для перехода в режим витрины данных НОК нужно выбрать одно из условий оказания медицинской помощи: амбулаторные, стационарные, психиатрия, санатории, и вид анкет, нажать соответствующие анкетам ячейки таблицы «Всего», «Интерактивные», «Бумажные». При нажатии на ссылку система откроет раздел витрины данных, соответствующий выбранным параметрам. Возможности работы с режимом витрины данных приведены в п. </w:t>
      </w:r>
      <w:r>
        <w:rPr/>
        <w:fldChar w:fldCharType="begin"/>
      </w:r>
      <w:r>
        <w:instrText> REF _Ref507530686 \r \h </w:instrText>
      </w:r>
      <w:r>
        <w:fldChar w:fldCharType="separate"/>
      </w:r>
      <w:r>
        <w:t>1.1</w:t>
      </w:r>
      <w:r>
        <w:fldChar w:fldCharType="end"/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60" w:name="_Toc507529922"/>
      <w:bookmarkEnd w:id="60"/>
      <w:r>
        <w:rPr/>
        <w:t>Раздел «Администрирование»</w:t>
      </w:r>
    </w:p>
    <w:p>
      <w:pPr>
        <w:pStyle w:val="Usual1"/>
        <w:rPr/>
      </w:pPr>
      <w:r>
        <w:rPr/>
        <w:t xml:space="preserve">В разделе «Администрирование» вводятся пользователи личных кабинетов. Пользователям можно присвоить логин и пароль доступа, права доступа. Уровень доступа позволяет определить категорию личного кабинета, к которому предоставляется доступ пользователю. Ввод информации аналогичен описанному в п. </w:t>
      </w:r>
      <w:r>
        <w:rPr/>
        <w:fldChar w:fldCharType="begin"/>
      </w:r>
      <w:r>
        <w:instrText> REF _Ref500694681 \r \h </w:instrText>
      </w:r>
      <w:r>
        <w:fldChar w:fldCharType="separate"/>
      </w:r>
      <w:r>
        <w:t>4.1.3</w:t>
      </w:r>
      <w:r>
        <w:fldChar w:fldCharType="end"/>
      </w:r>
      <w:r>
        <w:rPr/>
        <w:t>.</w:t>
      </w:r>
    </w:p>
    <w:p>
      <w:pPr>
        <w:pStyle w:val="Usual1"/>
        <w:rPr/>
      </w:pPr>
      <w:r>
        <w:rPr/>
        <w:t>Описание ролевых моделей пользователей представлено в документе «Ролевая модель доступа пользователей системы «Мониторинг НОК» для раздела "Администрирование"» (</w:t>
      </w:r>
      <w:r>
        <w:fldChar w:fldCharType="begin"/>
      </w:r>
      <w:r>
        <w:instrText> HYPERLINK "http://noktest.nitrosbase.com/instr/userspermissions" \l "levels"</w:instrText>
      </w:r>
      <w:r>
        <w:fldChar w:fldCharType="separate"/>
      </w:r>
      <w:r>
        <w:rPr>
          <w:rStyle w:val="Style6"/>
        </w:rPr>
        <w:t>http://noktest.nitrosbase.com/instr/userspermissions#levels</w:t>
      </w:r>
      <w:r>
        <w:fldChar w:fldCharType="end"/>
      </w:r>
      <w:r>
        <w:rPr/>
        <w:t xml:space="preserve">). 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61" w:name="_Toc507529923"/>
      <w:bookmarkEnd w:id="61"/>
      <w:r>
        <w:rPr/>
        <w:t>Ввод текстовой информации</w:t>
      </w:r>
    </w:p>
    <w:p>
      <w:pPr>
        <w:pStyle w:val="Usual1"/>
        <w:rPr/>
      </w:pPr>
      <w:r>
        <w:rPr/>
        <w:t xml:space="preserve">Ввод текстовой информации полностью аналогичен описанному ранее (п. </w:t>
      </w:r>
      <w:r>
        <w:rPr/>
        <w:fldChar w:fldCharType="begin"/>
      </w:r>
      <w:r>
        <w:instrText> REF _Ref500694681 \r \h </w:instrText>
      </w:r>
      <w:r>
        <w:fldChar w:fldCharType="separate"/>
      </w:r>
      <w:r>
        <w:t>4.1.3</w:t>
      </w:r>
      <w:r>
        <w:fldChar w:fldCharType="end"/>
      </w:r>
      <w:r>
        <w:rPr/>
        <w:t>).</w:t>
      </w:r>
    </w:p>
    <w:p>
      <w:pPr>
        <w:pStyle w:val="Head31"/>
        <w:numPr>
          <w:ilvl w:val="2"/>
          <w:numId w:val="5"/>
        </w:numPr>
        <w:ind w:left="0" w:hanging="0"/>
        <w:rPr/>
      </w:pPr>
      <w:bookmarkStart w:id="62" w:name="_Toc507529924"/>
      <w:bookmarkEnd w:id="62"/>
      <w:r>
        <w:rPr/>
        <w:t>Загрузка документа</w:t>
      </w:r>
    </w:p>
    <w:p>
      <w:pPr>
        <w:pStyle w:val="Usual1"/>
        <w:rPr/>
      </w:pPr>
      <w:r>
        <w:rPr/>
        <w:t xml:space="preserve">Загрузка документа полностью аналогична описанной ранее (п. </w:t>
      </w:r>
      <w:r>
        <w:rPr/>
        <w:fldChar w:fldCharType="begin"/>
      </w:r>
      <w:r>
        <w:instrText> REF _Ref500695050 \r \h </w:instrText>
      </w:r>
      <w:r>
        <w:fldChar w:fldCharType="separate"/>
      </w:r>
      <w:r>
        <w:t>4.1.4</w:t>
      </w:r>
      <w:r>
        <w:fldChar w:fldCharType="end"/>
      </w:r>
      <w:r>
        <w:rPr/>
        <w:t xml:space="preserve"> ).</w:t>
      </w:r>
    </w:p>
    <w:p>
      <w:pPr>
        <w:pStyle w:val="Head2"/>
        <w:numPr>
          <w:ilvl w:val="1"/>
          <w:numId w:val="4"/>
        </w:numPr>
        <w:rPr/>
      </w:pPr>
      <w:bookmarkStart w:id="63" w:name="_Ref507530686"/>
      <w:bookmarkStart w:id="64" w:name="_Ref507530451"/>
      <w:bookmarkStart w:id="65" w:name="_Toc507529925"/>
      <w:bookmarkStart w:id="66" w:name="_Toc500591055"/>
      <w:r>
        <w:rPr/>
        <w:t>Просмотр витрины данных независимой оценки качества</w:t>
      </w:r>
      <w:bookmarkEnd w:id="63"/>
      <w:bookmarkEnd w:id="64"/>
      <w:bookmarkEnd w:id="65"/>
      <w:bookmarkEnd w:id="66"/>
      <w:r>
        <w:rPr/>
        <w:t xml:space="preserve"> </w:t>
      </w:r>
    </w:p>
    <w:p>
      <w:pPr>
        <w:pStyle w:val="Head31"/>
        <w:numPr>
          <w:ilvl w:val="2"/>
          <w:numId w:val="4"/>
        </w:numPr>
        <w:ind w:left="0" w:firstLine="851"/>
        <w:rPr/>
      </w:pPr>
      <w:bookmarkStart w:id="67" w:name="_Toc507529926"/>
      <w:bookmarkStart w:id="68" w:name="_Toc500591056"/>
      <w:r>
        <w:rPr/>
        <w:t>Главная страница</w:t>
      </w:r>
      <w:bookmarkEnd w:id="67"/>
      <w:bookmarkEnd w:id="68"/>
      <w:r>
        <w:rPr/>
        <w:t xml:space="preserve"> </w:t>
      </w:r>
    </w:p>
    <w:p>
      <w:pPr>
        <w:pStyle w:val="Usual1"/>
        <w:rPr/>
      </w:pPr>
      <w:r>
        <w:rPr/>
        <w:t xml:space="preserve">Главная страница витрины данных НОК представлена на рисунке </w:t>
      </w:r>
      <w:r>
        <w:rPr/>
        <w:fldChar w:fldCharType="begin"/>
      </w:r>
      <w:r>
        <w:instrText> REF _Ref500945553 \h </w:instrText>
      </w:r>
      <w:r>
        <w:fldChar w:fldCharType="separate"/>
      </w:r>
      <w:r>
        <w:t>Рисунок 16</w:t>
      </w:r>
      <w:r>
        <w:fldChar w:fldCharType="end"/>
      </w:r>
      <w:r>
        <w:rPr/>
        <w:t>.</w:t>
      </w:r>
    </w:p>
    <w:p>
      <w:pPr>
        <w:pStyle w:val="Usual1"/>
        <w:rPr/>
      </w:pPr>
      <w:r>
        <w:rPr/>
        <w:t>На главной странице витрины выбрать анкету по виду оказания медицинской помощи (амбулаторные условия, донорство крови, психиатрические больницы, санатории, стационарные условия) и типу анкеты (электронные, бумажные, все анкеты) (</w:t>
      </w:r>
      <w:r>
        <w:rPr/>
        <w:fldChar w:fldCharType="begin"/>
      </w:r>
      <w:r>
        <w:instrText> REF _Ref500945538 \h </w:instrText>
      </w:r>
      <w:r>
        <w:fldChar w:fldCharType="separate"/>
      </w:r>
      <w:r>
        <w:t>Рисунок 15</w:t>
      </w:r>
      <w:r>
        <w:fldChar w:fldCharType="end"/>
      </w:r>
      <w:r>
        <w:rPr/>
        <w:t xml:space="preserve">, </w:t>
      </w:r>
      <w:r>
        <w:rPr/>
        <w:fldChar w:fldCharType="begin"/>
      </w:r>
      <w:r>
        <w:instrText> REF _Ref500945553 \h </w:instrText>
      </w:r>
      <w:r>
        <w:fldChar w:fldCharType="separate"/>
      </w:r>
      <w:r>
        <w:t>Рисунок 16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0">
            <wp:extent cx="5943600" cy="1600200"/>
            <wp:effectExtent l="0" t="0" r="0" b="0"/>
            <wp:docPr id="19" name="Рисунок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26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69" w:name="_Ref500945538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15</w:t>
      </w:r>
      <w:r>
        <w:fldChar w:fldCharType="end"/>
      </w:r>
      <w:bookmarkEnd w:id="69"/>
      <w:r>
        <w:rPr/>
        <w:t> – Выбор анкеты по условию оказания медицинской помощи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0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0" w:name="_Ref500945553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16</w:t>
      </w:r>
      <w:r>
        <w:fldChar w:fldCharType="end"/>
      </w:r>
      <w:bookmarkEnd w:id="70"/>
      <w:r>
        <w:rPr/>
        <w:t xml:space="preserve"> – Главная страница витрины данных НОК. Выбор анкеты по типу анкет </w:t>
      </w:r>
    </w:p>
    <w:p>
      <w:pPr>
        <w:pStyle w:val="Usual1"/>
        <w:rPr/>
      </w:pPr>
      <w:r>
        <w:rPr/>
        <w:t>После выбора анкеты программа открывает список субъектов Российской федерации с результатами независимой оценки качества оказания медицинских услуг (НОК). Результат НОК отражается в баллах и количестве анкет. Из списка субъектов РФ выбрать нужную область и нажать на ссылку с наименованием субъекта РФ. Например, Калининградская обл. (</w:t>
      </w:r>
      <w:r>
        <w:rPr/>
        <w:fldChar w:fldCharType="begin"/>
      </w:r>
      <w:r>
        <w:instrText> REF _Ref500945599 \h </w:instrText>
      </w:r>
      <w:r>
        <w:fldChar w:fldCharType="separate"/>
      </w:r>
      <w:r>
        <w:t>Рисунок 17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1" w:name="_Ref50094559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17</w:t>
      </w:r>
      <w:r>
        <w:fldChar w:fldCharType="end"/>
      </w:r>
      <w:bookmarkEnd w:id="71"/>
      <w:r>
        <w:rPr/>
        <w:t> – Выбор субъекта РФ</w:t>
      </w:r>
    </w:p>
    <w:p>
      <w:pPr>
        <w:pStyle w:val="Usual1"/>
        <w:rPr/>
      </w:pPr>
      <w:r>
        <w:rPr/>
        <w:t>Система по ссылке перейдет на страницу выбранного региона (</w:t>
      </w:r>
      <w:r>
        <w:rPr/>
        <w:fldChar w:fldCharType="begin"/>
      </w:r>
      <w:r>
        <w:instrText> REF _Ref500945659 \h </w:instrText>
      </w:r>
      <w:r>
        <w:fldChar w:fldCharType="separate"/>
      </w:r>
      <w:r>
        <w:t>Рисунок 18</w:t>
      </w:r>
      <w:r>
        <w:fldChar w:fldCharType="end"/>
      </w:r>
      <w:r>
        <w:rPr/>
        <w:t>).</w:t>
      </w:r>
    </w:p>
    <w:p>
      <w:pPr>
        <w:pStyle w:val="Head31"/>
        <w:numPr>
          <w:ilvl w:val="2"/>
          <w:numId w:val="4"/>
        </w:numPr>
        <w:ind w:left="0" w:firstLine="851"/>
        <w:rPr/>
      </w:pPr>
      <w:bookmarkStart w:id="72" w:name="_Toc507529927"/>
      <w:bookmarkStart w:id="73" w:name="_Toc500591057"/>
      <w:bookmarkEnd w:id="72"/>
      <w:bookmarkEnd w:id="73"/>
      <w:r>
        <w:rPr/>
        <w:t>Страница списка медицинских организаций региона</w:t>
      </w:r>
    </w:p>
    <w:p>
      <w:pPr>
        <w:pStyle w:val="Usual1"/>
        <w:rPr/>
      </w:pPr>
      <w:r>
        <w:rPr/>
        <w:t>На странице региона высветиться список медицинских организаций выбранного региона. В строке с наименованием медицинской организации отражается результат оценки медицинской организации в баллах, количество проголосовавших анкет, баллы по критериям НОК: открытость и доступность информации, комфортность условий и доступность получения услуг, время ожидания, доброжелательность, вежливость и компетентность, удовлетворенность оказанными услугами. В итоговой строке показываются итоги по региону:</w:t>
      </w:r>
    </w:p>
    <w:p>
      <w:pPr>
        <w:pStyle w:val="Style34"/>
        <w:numPr>
          <w:ilvl w:val="0"/>
          <w:numId w:val="2"/>
        </w:numPr>
        <w:rPr/>
      </w:pPr>
      <w:r>
        <w:rPr/>
        <w:t>количество анкет;</w:t>
      </w:r>
    </w:p>
    <w:p>
      <w:pPr>
        <w:pStyle w:val="Style34"/>
        <w:numPr>
          <w:ilvl w:val="0"/>
          <w:numId w:val="2"/>
        </w:numPr>
        <w:rPr/>
      </w:pPr>
      <w:r>
        <w:rPr/>
        <w:t>средний балл НОК по региону;</w:t>
      </w:r>
    </w:p>
    <w:p>
      <w:pPr>
        <w:pStyle w:val="Style34"/>
        <w:numPr>
          <w:ilvl w:val="0"/>
          <w:numId w:val="2"/>
        </w:numPr>
        <w:rPr/>
      </w:pPr>
      <w:r>
        <w:rPr/>
        <w:t xml:space="preserve">текущая дата состояния базы (Рисунок </w:t>
      </w:r>
      <w:r>
        <w:rPr/>
        <w:fldChar w:fldCharType="begin"/>
      </w:r>
      <w:r>
        <w:instrText> REF _Ref500945659 \h </w:instrText>
      </w:r>
      <w:r>
        <w:fldChar w:fldCharType="separate"/>
      </w:r>
      <w:r>
        <w:t>Рисунок 18</w:t>
      </w:r>
      <w:r>
        <w:fldChar w:fldCharType="end"/>
      </w:r>
      <w:r>
        <w:rPr/>
        <w:t>).</w:t>
      </w:r>
    </w:p>
    <w:p>
      <w:pPr>
        <w:pStyle w:val="Usual1"/>
        <w:rPr/>
      </w:pPr>
      <w:r>
        <w:rPr/>
        <w:t>Строка горизонтального меню с переключателями:</w:t>
      </w:r>
    </w:p>
    <w:p>
      <w:pPr>
        <w:pStyle w:val="Style34"/>
        <w:numPr>
          <w:ilvl w:val="0"/>
          <w:numId w:val="2"/>
        </w:numPr>
        <w:rPr/>
      </w:pPr>
      <w:r>
        <w:rPr/>
        <w:t>Главная</w:t>
      </w:r>
    </w:p>
    <w:p>
      <w:pPr>
        <w:pStyle w:val="Style34"/>
        <w:numPr>
          <w:ilvl w:val="0"/>
          <w:numId w:val="2"/>
        </w:numPr>
        <w:rPr/>
      </w:pPr>
      <w:r>
        <w:rPr/>
        <w:t xml:space="preserve">Результаты региона </w:t>
      </w:r>
    </w:p>
    <w:p>
      <w:pPr>
        <w:pStyle w:val="Style34"/>
        <w:numPr>
          <w:ilvl w:val="0"/>
          <w:numId w:val="2"/>
        </w:numPr>
        <w:rPr/>
      </w:pPr>
      <w:r>
        <w:rPr/>
        <w:t xml:space="preserve">Организации региона </w:t>
      </w:r>
    </w:p>
    <w:p>
      <w:pPr>
        <w:pStyle w:val="Style34"/>
        <w:numPr>
          <w:ilvl w:val="0"/>
          <w:numId w:val="2"/>
        </w:numPr>
        <w:rPr/>
      </w:pPr>
      <w:r>
        <w:rPr/>
        <w:t xml:space="preserve">Заполнение бумажных анкет. 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2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4" w:name="_Ref50094565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18</w:t>
      </w:r>
      <w:r>
        <w:fldChar w:fldCharType="end"/>
      </w:r>
      <w:bookmarkEnd w:id="74"/>
      <w:r>
        <w:rPr/>
        <w:t> – Список медицинских организаций субъекта РФ</w:t>
      </w:r>
    </w:p>
    <w:p>
      <w:pPr>
        <w:pStyle w:val="Usual1"/>
        <w:rPr/>
      </w:pPr>
      <w:r>
        <w:rPr/>
        <w:t xml:space="preserve">На рисунке </w:t>
      </w:r>
      <w:r>
        <w:rPr/>
        <w:fldChar w:fldCharType="begin"/>
      </w:r>
      <w:r>
        <w:instrText> REF _Ref500945779 \h </w:instrText>
      </w:r>
      <w:r>
        <w:fldChar w:fldCharType="separate"/>
      </w:r>
      <w:r>
        <w:t>Рисунок 19</w:t>
      </w:r>
      <w:r>
        <w:fldChar w:fldCharType="end"/>
      </w:r>
      <w:r>
        <w:rPr/>
        <w:t xml:space="preserve"> показана форма списка медицинских организаций по стационарным условиям оказания медицинской помощи.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5" w:name="_Ref50094577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19</w:t>
      </w:r>
      <w:r>
        <w:fldChar w:fldCharType="end"/>
      </w:r>
      <w:bookmarkEnd w:id="75"/>
      <w:r>
        <w:rPr/>
        <w:t> – </w:t>
      </w:r>
      <w:bookmarkStart w:id="76" w:name="_Toc500591058"/>
      <w:bookmarkEnd w:id="76"/>
      <w:r>
        <w:rPr/>
        <w:t>Заполнение бумажных анкет</w:t>
      </w:r>
    </w:p>
    <w:p>
      <w:pPr>
        <w:pStyle w:val="Usual1"/>
        <w:rPr/>
      </w:pPr>
      <w:r>
        <w:rPr>
          <w:rStyle w:val="Usual"/>
        </w:rPr>
        <w:t>Для заполнения бумажных анкет войти в пункт меню «Заполнение бумажных анкет». Выбрать наименование организации из списка медицинских организаций субъекта РФ (</w:t>
      </w:r>
      <w:r>
        <w:rPr>
          <w:rStyle w:val="Usual"/>
        </w:rPr>
        <w:fldChar w:fldCharType="begin"/>
      </w:r>
      <w:r>
        <w:instrText> REF _Ref500945966 \h </w:instrText>
      </w:r>
      <w:r>
        <w:fldChar w:fldCharType="separate"/>
      </w:r>
      <w:r>
        <w:t>Рисунок 20</w:t>
      </w:r>
      <w:r>
        <w:fldChar w:fldCharType="end"/>
      </w:r>
      <w:r>
        <w:rPr>
          <w:rStyle w:val="Usual"/>
        </w:rPr>
        <w:t>).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4" name="Рисунок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6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7" w:name="_Ref500945966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20</w:t>
      </w:r>
      <w:r>
        <w:fldChar w:fldCharType="end"/>
      </w:r>
      <w:bookmarkEnd w:id="77"/>
      <w:r>
        <w:rPr/>
        <w:t> – Форма выбора медицинской организации</w:t>
      </w:r>
    </w:p>
    <w:p>
      <w:pPr>
        <w:pStyle w:val="Usual1"/>
        <w:rPr/>
      </w:pPr>
      <w:r>
        <w:rPr/>
        <w:t xml:space="preserve">Заполнить пункты анкеты и нажать кнопку «голосовать». Дождаться сообщения системы о внесении анкеты в базу данных и перейти к заполнению следующей анкеты (Рисунки </w:t>
      </w:r>
      <w:r>
        <w:rPr/>
        <w:fldChar w:fldCharType="begin"/>
      </w:r>
      <w:r>
        <w:instrText> REF _Ref500946054 \h </w:instrText>
      </w:r>
      <w:r>
        <w:fldChar w:fldCharType="separate"/>
      </w:r>
      <w:r>
        <w:t>Рисунок 21</w:t>
      </w:r>
      <w:r>
        <w:fldChar w:fldCharType="end"/>
      </w:r>
      <w:r>
        <w:rPr/>
        <w:t xml:space="preserve">, </w:t>
      </w:r>
      <w:r>
        <w:rPr/>
        <w:fldChar w:fldCharType="begin"/>
      </w:r>
      <w:r>
        <w:instrText> REF _Ref500946073 \h </w:instrText>
      </w:r>
      <w:r>
        <w:fldChar w:fldCharType="separate"/>
      </w:r>
      <w:r>
        <w:t>Рисунок 22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5" name="Рисунок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8" w:name="_Ref500946054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21</w:t>
      </w:r>
      <w:r>
        <w:fldChar w:fldCharType="end"/>
      </w:r>
      <w:bookmarkEnd w:id="78"/>
      <w:r>
        <w:rPr/>
        <w:t> </w:t>
      </w:r>
      <w:r>
        <w:rPr>
          <w:sz w:val="26"/>
          <w:szCs w:val="26"/>
        </w:rPr>
        <w:t>– Форма заполнения анкеты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6" name="Рисунок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0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79" w:name="_Ref500946073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22</w:t>
      </w:r>
      <w:r>
        <w:fldChar w:fldCharType="end"/>
      </w:r>
      <w:bookmarkEnd w:id="79"/>
      <w:r>
        <w:rPr/>
        <w:t> – Ввод анкеты в систему</w:t>
      </w:r>
    </w:p>
    <w:p>
      <w:pPr>
        <w:pStyle w:val="Usual1"/>
        <w:rPr/>
      </w:pPr>
      <w:r>
        <w:rPr/>
        <w:t>Результаты по количеству внесенных анкет отражаются в итоговых строчках на главной странице региона и в расчете НОК по медицинским организациям.</w:t>
      </w:r>
    </w:p>
    <w:p>
      <w:pPr>
        <w:pStyle w:val="Head31"/>
        <w:numPr>
          <w:ilvl w:val="2"/>
          <w:numId w:val="4"/>
        </w:numPr>
        <w:ind w:left="0" w:firstLine="851"/>
        <w:rPr/>
      </w:pPr>
      <w:bookmarkStart w:id="80" w:name="_Toc507529928"/>
      <w:bookmarkStart w:id="81" w:name="_Toc500591059"/>
      <w:r>
        <w:rPr/>
        <w:t xml:space="preserve">Выгрузка результатов НОК в файл </w:t>
      </w:r>
      <w:bookmarkEnd w:id="80"/>
      <w:bookmarkEnd w:id="81"/>
      <w:r>
        <w:rPr>
          <w:lang w:val="en-US"/>
        </w:rPr>
        <w:t>Excel</w:t>
      </w:r>
    </w:p>
    <w:p>
      <w:pPr>
        <w:pStyle w:val="Usual1"/>
        <w:rPr/>
      </w:pPr>
      <w:r>
        <w:rPr/>
        <w:t>Для скачивания результатов оценки в файл Excel необходимо в пункте меню нажать кнопку «Скачать», дождаться скачивания файла. Открыть скаченный файл (</w:t>
      </w:r>
      <w:r>
        <w:rPr/>
        <w:fldChar w:fldCharType="begin"/>
      </w:r>
      <w:r>
        <w:instrText> REF _Ref500946215 \h </w:instrText>
      </w:r>
      <w:r>
        <w:fldChar w:fldCharType="separate"/>
      </w:r>
      <w:r>
        <w:t>Рисунок 23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7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82" w:name="_Ref50094621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23</w:t>
      </w:r>
      <w:r>
        <w:fldChar w:fldCharType="end"/>
      </w:r>
      <w:bookmarkEnd w:id="82"/>
      <w:r>
        <w:rPr/>
        <w:t xml:space="preserve"> – Скачивание результатов НОК в файл </w:t>
      </w:r>
      <w:r>
        <w:rPr>
          <w:lang w:val="en-US"/>
        </w:rPr>
        <w:t>Excel</w:t>
      </w:r>
    </w:p>
    <w:p>
      <w:pPr>
        <w:pStyle w:val="Usual1"/>
        <w:rPr/>
      </w:pPr>
      <w:r>
        <w:rPr/>
        <w:t xml:space="preserve">На экране появится Excel файл, открыть его в табличном редакторе </w:t>
      </w:r>
      <w:r>
        <w:rPr>
          <w:lang w:val="en-US"/>
        </w:rPr>
        <w:t>Excel</w:t>
      </w:r>
      <w:r>
        <w:rPr/>
        <w:t xml:space="preserve">, нажать «разрешить редактирование». В файл скачиваются результаты расчета НОК общие, по каждой медицинской организации региона в отдельности с указанием баллов по составляющим параметрам оценки, по которым происходит расчет общего балла НОК (Рисунок </w:t>
      </w:r>
      <w:r>
        <w:rPr/>
        <w:fldChar w:fldCharType="begin"/>
      </w:r>
      <w:r>
        <w:instrText> REF _Ref507527615 \h </w:instrText>
      </w:r>
      <w:r>
        <w:fldChar w:fldCharType="separate"/>
      </w:r>
      <w:r>
        <w:t>Рисунок 24</w:t>
      </w:r>
      <w:r>
        <w:fldChar w:fldCharType="end"/>
      </w:r>
      <w:r>
        <w:rPr/>
        <w:t>,</w:t>
      </w:r>
      <w:r>
        <w:rPr/>
        <w:fldChar w:fldCharType="begin"/>
      </w:r>
      <w:r>
        <w:instrText> REF _Ref507527786 \h </w:instrText>
      </w:r>
      <w:r>
        <w:fldChar w:fldCharType="separate"/>
      </w:r>
      <w:r>
        <w:t>Рисунок 25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8" name="Рисунок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83" w:name="_Ref50752761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24</w:t>
      </w:r>
      <w:r>
        <w:fldChar w:fldCharType="end"/>
      </w:r>
      <w:bookmarkEnd w:id="83"/>
      <w:r>
        <w:rPr/>
        <w:t xml:space="preserve"> –Результаты НОК региона в </w:t>
      </w:r>
      <w:r>
        <w:rPr>
          <w:lang w:val="en-US"/>
        </w:rPr>
        <w:t>excel</w:t>
      </w:r>
      <w:r>
        <w:rPr/>
        <w:t xml:space="preserve"> файле</w:t>
      </w:r>
    </w:p>
    <w:p>
      <w:pPr>
        <w:pStyle w:val="Style36"/>
        <w:rPr/>
      </w:pPr>
      <w:r>
        <w:rPr/>
        <w:drawing>
          <wp:inline distT="0" distB="0" distL="0" distR="3175">
            <wp:extent cx="5940425" cy="3341370"/>
            <wp:effectExtent l="0" t="0" r="0" b="0"/>
            <wp:docPr id="29" name="Рисунок 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/>
      </w:pPr>
      <w:bookmarkStart w:id="84" w:name="_Ref507527786"/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t xml:space="preserve">Рисунок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fldChar w:fldCharType="begin"/>
      </w:r>
      <w:r>
        <w:instrText> SEQ Рисунок \* ARABIC </w:instrText>
      </w:r>
      <w:r>
        <w:fldChar w:fldCharType="separate"/>
      </w:r>
      <w:r>
        <w:t>25</w:t>
      </w:r>
      <w:r>
        <w:fldChar w:fldCharType="end"/>
      </w:r>
      <w:bookmarkEnd w:id="84"/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ru-RU"/>
        </w:rPr>
        <w:t xml:space="preserve"> - Расчет НОК по критериям</w:t>
      </w:r>
    </w:p>
    <w:p>
      <w:pPr>
        <w:pStyle w:val="Normal"/>
        <w:jc w:val="both"/>
        <w:rPr>
          <w:rStyle w:val="BookTitle"/>
          <w:b w:val="false"/>
          <w:b w:val="false"/>
        </w:rPr>
      </w:pPr>
      <w:r>
        <w:rPr>
          <w:b w:val="false"/>
        </w:rPr>
      </w:r>
    </w:p>
    <w:p>
      <w:pPr>
        <w:pStyle w:val="Head2"/>
        <w:numPr>
          <w:ilvl w:val="1"/>
          <w:numId w:val="5"/>
        </w:numPr>
        <w:rPr/>
      </w:pPr>
      <w:bookmarkStart w:id="85" w:name="OLE_LINK212"/>
      <w:bookmarkStart w:id="86" w:name="OLE_LINK211"/>
      <w:bookmarkStart w:id="87" w:name="_Toc500676932"/>
      <w:bookmarkStart w:id="88" w:name="_Ref500945733"/>
      <w:bookmarkStart w:id="89" w:name="_Toc507529929"/>
      <w:bookmarkStart w:id="90" w:name="_Toc501044516"/>
      <w:bookmarkEnd w:id="85"/>
      <w:bookmarkEnd w:id="86"/>
      <w:bookmarkEnd w:id="87"/>
      <w:bookmarkEnd w:id="89"/>
      <w:bookmarkEnd w:id="90"/>
      <w:r>
        <w:rPr/>
        <w:t>Выход и закрытие приложения</w:t>
      </w:r>
    </w:p>
    <w:p>
      <w:pPr>
        <w:pStyle w:val="Usual1"/>
        <w:rPr/>
      </w:pPr>
      <w:r>
        <w:rPr/>
        <w:t xml:space="preserve">Для корректной работы с системой, необходимо, по окончанию работ выйти с из приложения, нажав кнопку </w:t>
      </w:r>
      <w:r>
        <w:rPr/>
        <w:drawing>
          <wp:inline distT="0" distB="0" distL="0" distR="0">
            <wp:extent cx="533400" cy="400050"/>
            <wp:effectExtent l="0" t="0" r="0" b="0"/>
            <wp:docPr id="30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Usual1"/>
        <w:rPr/>
      </w:pPr>
      <w:r>
        <w:rPr/>
        <w:t xml:space="preserve">Для сохранения введенной информации необходимо нажать кнопку </w:t>
      </w:r>
      <w:r>
        <w:rPr/>
        <w:drawing>
          <wp:inline distT="0" distB="0" distL="0" distR="9525">
            <wp:extent cx="847725" cy="323850"/>
            <wp:effectExtent l="0" t="0" r="0" b="0"/>
            <wp:docPr id="31" name="Рисунок 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72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, расположенную в верхней части страницы сайта. </w:t>
      </w:r>
    </w:p>
    <w:p>
      <w:pPr>
        <w:pStyle w:val="Head11"/>
        <w:numPr>
          <w:ilvl w:val="0"/>
          <w:numId w:val="5"/>
        </w:numPr>
        <w:rPr/>
      </w:pPr>
      <w:bookmarkStart w:id="91" w:name="_Toc507529930"/>
      <w:bookmarkEnd w:id="91"/>
      <w:r>
        <w:rPr/>
        <w:t>АВАРИЙНЫЕ СИТУАЦИИ</w:t>
      </w:r>
    </w:p>
    <w:p>
      <w:pPr>
        <w:pStyle w:val="Usual1"/>
        <w:rPr/>
      </w:pPr>
      <w:r>
        <w:rPr/>
        <w:t>Аварийными при работе Системой считаются ситуации, приводящие к невозможности выполнения операций, описанных в настоящем руководстве.</w:t>
      </w:r>
    </w:p>
    <w:p>
      <w:pPr>
        <w:pStyle w:val="Usual1"/>
        <w:rPr/>
      </w:pPr>
      <w:r>
        <w:rPr/>
        <w:t>К аварийным ситуациям могут приводить отказы в работе технических средств Системы, ошибки в прикладном ПО Системы.</w:t>
      </w:r>
    </w:p>
    <w:p>
      <w:pPr>
        <w:pStyle w:val="Usual1"/>
        <w:rPr/>
      </w:pPr>
      <w:r>
        <w:rPr/>
        <w:t>В случае возникновения аварийных ситуаций при работе пользователя с Системой, а также утраты или компрометации пароля, возникновения ошибок протокола HTTP, следует обратиться в службу технической поддержки Системы. Контактные данные службы технической поддержки приведены на стартовой странице Системы.</w:t>
      </w:r>
    </w:p>
    <w:p>
      <w:pPr>
        <w:pStyle w:val="Head11"/>
        <w:numPr>
          <w:ilvl w:val="0"/>
          <w:numId w:val="5"/>
        </w:numPr>
        <w:rPr/>
      </w:pPr>
      <w:bookmarkStart w:id="92" w:name="_Toc507529931"/>
      <w:bookmarkEnd w:id="92"/>
      <w:r>
        <w:rPr/>
        <w:t>РЕКОМЕНДАЦИИ ПО ОСВОЕНИЮ</w:t>
      </w:r>
    </w:p>
    <w:p>
      <w:pPr>
        <w:pStyle w:val="Usual1"/>
        <w:rPr/>
      </w:pPr>
      <w:r>
        <w:rPr/>
        <w:t>Для освоения следует ознакомиться с настоящим руководством и подробным описанием действий пользователя при заполнении разделов личного кабинета. Пример заполнения разделов личного кабинета медицинской организации приведен ниже.</w:t>
      </w:r>
    </w:p>
    <w:p>
      <w:pPr>
        <w:pStyle w:val="Head2"/>
        <w:numPr>
          <w:ilvl w:val="1"/>
          <w:numId w:val="5"/>
        </w:numPr>
        <w:rPr/>
      </w:pPr>
      <w:bookmarkStart w:id="93" w:name="_Toc507529932"/>
      <w:r>
        <w:rPr/>
        <w:t>РЕКОМЕНДАЦИИ ПО ЗАПОЛНЕНИЮ ПОЛЕЙ ЛИЧНОГО КАБИНЕТА</w:t>
      </w:r>
      <w:bookmarkEnd w:id="93"/>
      <w:r>
        <w:rPr/>
        <w:t xml:space="preserve"> </w:t>
      </w:r>
    </w:p>
    <w:p>
      <w:pPr>
        <w:pStyle w:val="Usual1"/>
        <w:rPr/>
      </w:pPr>
      <w:r>
        <w:rPr/>
        <w:t xml:space="preserve">В меню сайта, есть информация обязательная для заполнения. Для ее ввода следует заполнить необходимые поля. Рекомендуется производить заполнение полей последовательно, переходя от поля к полю. </w:t>
      </w:r>
    </w:p>
    <w:p>
      <w:pPr>
        <w:pStyle w:val="Usual1"/>
        <w:rPr/>
      </w:pPr>
      <w:r>
        <w:rPr/>
        <w:t>Вид главного меню личного кабинета МО приведен ниже (</w:t>
      </w:r>
      <w:r>
        <w:rPr/>
        <w:fldChar w:fldCharType="begin"/>
      </w:r>
      <w:r>
        <w:instrText> REF _Ref500946460 \h </w:instrText>
      </w:r>
      <w:r>
        <w:fldChar w:fldCharType="separate"/>
      </w:r>
      <w:r>
        <w:t>Рисунок 26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9525" distL="0" distR="9525">
            <wp:extent cx="3571875" cy="4105275"/>
            <wp:effectExtent l="0" t="0" r="0" b="0"/>
            <wp:docPr id="32" name="Рисунок 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76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94" w:name="_Ref500946460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26</w:t>
      </w:r>
      <w:r>
        <w:fldChar w:fldCharType="end"/>
      </w:r>
      <w:bookmarkEnd w:id="88"/>
      <w:bookmarkEnd w:id="94"/>
      <w:r>
        <w:rPr/>
        <w:t> – Кнопки выбора информации, обязательной для заполнения</w:t>
      </w:r>
    </w:p>
    <w:p>
      <w:pPr>
        <w:pStyle w:val="Style37"/>
        <w:rPr/>
      </w:pPr>
      <w:r>
        <w:rPr/>
        <w:t>Сначала заполняется страница «Сведения о медицинской организации».</w:t>
      </w:r>
    </w:p>
    <w:p>
      <w:pPr>
        <w:pStyle w:val="Usual1"/>
        <w:rPr/>
      </w:pPr>
      <w:r>
        <w:rPr/>
        <w:t>В данном разделе возможно выбрать поле «О медицинской организации».</w:t>
      </w:r>
    </w:p>
    <w:p>
      <w:pPr>
        <w:pStyle w:val="Usual1"/>
        <w:rPr/>
      </w:pPr>
      <w:r>
        <w:rPr/>
        <w:t xml:space="preserve">Заполнить вкладки «Полное наименование» и «Место нахождения» заполняются сотрудниками ОГВ. </w:t>
      </w:r>
    </w:p>
    <w:p>
      <w:pPr>
        <w:pStyle w:val="Usual1"/>
        <w:rPr/>
      </w:pPr>
      <w:r>
        <w:rPr/>
        <w:t>При наличии обособленных структурных подразделений следует поставить «галочку», как показано ниже (</w:t>
      </w:r>
      <w:r>
        <w:rPr/>
        <w:fldChar w:fldCharType="begin"/>
      </w:r>
      <w:r>
        <w:instrText> REF _Ref500946531 \h </w:instrText>
      </w:r>
      <w:r>
        <w:fldChar w:fldCharType="separate"/>
      </w:r>
      <w:r>
        <w:t>Рисунок 27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0">
            <wp:extent cx="5257800" cy="571500"/>
            <wp:effectExtent l="0" t="0" r="0" b="0"/>
            <wp:docPr id="33" name="Рисунок 1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117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95" w:name="_Ref50094653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27</w:t>
      </w:r>
      <w:r>
        <w:fldChar w:fldCharType="end"/>
      </w:r>
      <w:bookmarkEnd w:id="95"/>
      <w:r>
        <w:rPr/>
        <w:t> – Форма ввода сведений о наличии обособленного структурного подразделения</w:t>
      </w:r>
    </w:p>
    <w:p>
      <w:pPr>
        <w:pStyle w:val="Usual1"/>
        <w:rPr/>
      </w:pPr>
      <w:r>
        <w:rPr/>
        <w:t>и добавить подразделение нажав кнопку «+ Новая запись».</w:t>
      </w:r>
    </w:p>
    <w:p>
      <w:pPr>
        <w:pStyle w:val="Usual1"/>
        <w:rPr/>
      </w:pPr>
      <w:r>
        <w:rPr/>
        <w:t>Далее следует ввести подразделение и местоположение в соответствующих поля, как показано ниже (</w:t>
      </w:r>
      <w:r>
        <w:rPr/>
        <w:fldChar w:fldCharType="begin"/>
      </w:r>
      <w:r>
        <w:instrText> REF _Ref500946572 \h </w:instrText>
      </w:r>
      <w:r>
        <w:fldChar w:fldCharType="separate"/>
      </w:r>
      <w:r>
        <w:t>Рисунок 28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9525">
            <wp:extent cx="5363210" cy="561975"/>
            <wp:effectExtent l="0" t="0" r="0" b="0"/>
            <wp:docPr id="34" name="Рисунок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19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96" w:name="_Ref500946572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28</w:t>
      </w:r>
      <w:r>
        <w:fldChar w:fldCharType="end"/>
      </w:r>
      <w:bookmarkEnd w:id="96"/>
      <w:r>
        <w:rPr/>
        <w:t> – Поля ввода названия подразделения и его местоположения</w:t>
      </w:r>
    </w:p>
    <w:p>
      <w:pPr>
        <w:pStyle w:val="Usual1"/>
        <w:rPr/>
      </w:pPr>
      <w:r>
        <w:rPr/>
        <w:t xml:space="preserve">Для сохранения информации следует нажать кнопку </w:t>
      </w:r>
      <w:r>
        <w:rPr/>
        <w:drawing>
          <wp:inline distT="0" distB="0" distL="19050" distR="0">
            <wp:extent cx="274320" cy="255905"/>
            <wp:effectExtent l="0" t="0" r="0" b="0"/>
            <wp:docPr id="35" name="Рисунок 1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121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после сохранения информации будет доступно редактирование информации, </w:t>
      </w:r>
      <w:r>
        <w:rPr/>
        <w:drawing>
          <wp:inline distT="0" distB="0" distL="19050" distR="4445">
            <wp:extent cx="300355" cy="285115"/>
            <wp:effectExtent l="0" t="0" r="0" b="0"/>
            <wp:docPr id="36" name="Рисунок 1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122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37" name="Рисунок 1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27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38" name="Рисунок 1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149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Usual1"/>
        <w:rPr/>
      </w:pPr>
      <w:r>
        <w:rPr/>
        <w:t>Для ввода существующих отделений МО следует заполнить поле «Отделения», как показано на рисунке ниже (</w:t>
      </w:r>
      <w:r>
        <w:rPr/>
        <w:fldChar w:fldCharType="begin"/>
      </w:r>
      <w:r>
        <w:instrText> REF _Ref500946611 \h </w:instrText>
      </w:r>
      <w:r>
        <w:fldChar w:fldCharType="separate"/>
      </w:r>
      <w:r>
        <w:t>Рисунок 29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238885"/>
            <wp:effectExtent l="0" t="0" r="0" b="0"/>
            <wp:docPr id="39" name="Рисунок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22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97" w:name="_Ref50094661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29</w:t>
      </w:r>
      <w:r>
        <w:fldChar w:fldCharType="end"/>
      </w:r>
      <w:bookmarkEnd w:id="97"/>
      <w:r>
        <w:rPr/>
        <w:t> – Поле ввода отделений МО</w:t>
      </w:r>
    </w:p>
    <w:p>
      <w:pPr>
        <w:pStyle w:val="Usual1"/>
        <w:rPr/>
      </w:pPr>
      <w:r>
        <w:rPr/>
        <w:t xml:space="preserve">Для ввода нового отделения следует нажать на кнопку «+Новая запись» и ввести название отделения. Для сохранения данных следует нажимать кнопку </w:t>
      </w:r>
      <w:r>
        <w:rPr/>
        <w:drawing>
          <wp:inline distT="0" distB="0" distL="19050" distR="0">
            <wp:extent cx="274320" cy="255905"/>
            <wp:effectExtent l="0" t="0" r="0" b="0"/>
            <wp:docPr id="40" name="Рисунок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28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после сохранения информации будет доступно редактирование информации, </w:t>
      </w:r>
      <w:r>
        <w:rPr/>
        <w:drawing>
          <wp:inline distT="0" distB="0" distL="19050" distR="4445">
            <wp:extent cx="300355" cy="285115"/>
            <wp:effectExtent l="0" t="0" r="0" b="0"/>
            <wp:docPr id="4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4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4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Usual1"/>
        <w:rPr/>
      </w:pPr>
      <w:r>
        <w:rPr/>
        <w:t>Для ввода почтового адреса МО следует заполнить поле «Почтовый адрес». Как показано на рисунке ниже (</w:t>
      </w:r>
      <w:r>
        <w:rPr/>
        <w:fldChar w:fldCharType="begin"/>
      </w:r>
      <w:r>
        <w:instrText> REF _Ref500946648 \h </w:instrText>
      </w:r>
      <w:r>
        <w:fldChar w:fldCharType="separate"/>
      </w:r>
      <w:r>
        <w:t>Рисунок 30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412115"/>
            <wp:effectExtent l="0" t="0" r="0" b="0"/>
            <wp:docPr id="44" name="Рисунок 1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153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98" w:name="_Ref500946648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30</w:t>
      </w:r>
      <w:r>
        <w:fldChar w:fldCharType="end"/>
      </w:r>
      <w:bookmarkEnd w:id="98"/>
      <w:r>
        <w:rPr/>
        <w:t> – Ввод почтового адреса МО</w:t>
      </w:r>
    </w:p>
    <w:p>
      <w:pPr>
        <w:pStyle w:val="Usual1"/>
        <w:rPr/>
      </w:pPr>
      <w:r>
        <w:rPr/>
        <w:t>Для ввода данных о схеме проезда к МО следует заполнить поле «Схема проезда», как показано на рисунке ниже (</w:t>
      </w:r>
      <w:r>
        <w:rPr/>
        <w:fldChar w:fldCharType="begin"/>
      </w:r>
      <w:r>
        <w:instrText> REF _Ref500946726 \h </w:instrText>
      </w:r>
      <w:r>
        <w:fldChar w:fldCharType="separate"/>
      </w:r>
      <w:r>
        <w:t>Рисунок 31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571500"/>
            <wp:effectExtent l="0" t="0" r="0" b="0"/>
            <wp:docPr id="45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99" w:name="_Ref500946726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31</w:t>
      </w:r>
      <w:r>
        <w:fldChar w:fldCharType="end"/>
      </w:r>
      <w:bookmarkEnd w:id="99"/>
      <w:r>
        <w:rPr/>
        <w:t> – Поле ввода данных о схеме проезда</w:t>
      </w:r>
    </w:p>
    <w:p>
      <w:pPr>
        <w:pStyle w:val="Usual1"/>
        <w:rPr/>
      </w:pPr>
      <w:r>
        <w:rPr/>
        <w:t>В данном поле вводится описание проезда и можно прикрепить ссылку на сайт или координаты местоположения.</w:t>
      </w:r>
    </w:p>
    <w:p>
      <w:pPr>
        <w:pStyle w:val="Usual1"/>
        <w:rPr/>
      </w:pPr>
      <w:r>
        <w:rPr/>
        <w:t>Для заполнения сведений о государственной регистрации следует заполнить соответствующее поле, как показано на рисунке ниже (</w:t>
      </w:r>
      <w:r>
        <w:rPr/>
        <w:fldChar w:fldCharType="begin"/>
      </w:r>
      <w:r>
        <w:instrText> REF _Ref500946794 \h </w:instrText>
      </w:r>
      <w:r>
        <w:fldChar w:fldCharType="separate"/>
      </w:r>
      <w:r>
        <w:t>Рисунок 32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082040"/>
            <wp:effectExtent l="0" t="0" r="0" b="0"/>
            <wp:docPr id="46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0" w:name="_Ref500946794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32</w:t>
      </w:r>
      <w:r>
        <w:fldChar w:fldCharType="end"/>
      </w:r>
      <w:bookmarkEnd w:id="100"/>
      <w:r>
        <w:rPr/>
        <w:t> – Поле ввода сведений о государственной регистрации</w:t>
      </w:r>
    </w:p>
    <w:p>
      <w:pPr>
        <w:pStyle w:val="Usual1"/>
        <w:rPr/>
      </w:pPr>
      <w:r>
        <w:rPr/>
        <w:t>Следует ввести дату регистрации и нажав на кнопку «Загрузить документ» прикрепить файл. После загрузки файла ниже появится ссылка на документ.</w:t>
      </w:r>
    </w:p>
    <w:p>
      <w:pPr>
        <w:pStyle w:val="Usual1"/>
        <w:rPr/>
      </w:pPr>
      <w:r>
        <w:rPr/>
        <w:t xml:space="preserve">Для заполнения поля «Сведения об учредителе (учредителях)» следует нажав на кнопку «+Новая запись» добавить учредителя. Сохранить данные можно, нажав кнопку </w:t>
      </w:r>
      <w:r>
        <w:rPr/>
        <w:drawing>
          <wp:inline distT="0" distB="0" distL="19050" distR="0">
            <wp:extent cx="274320" cy="255905"/>
            <wp:effectExtent l="0" t="0" r="0" b="0"/>
            <wp:docPr id="47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. После сохранения информации будет доступно редактирование информации, </w:t>
      </w:r>
      <w:r>
        <w:rPr/>
        <w:drawing>
          <wp:inline distT="0" distB="0" distL="19050" distR="4445">
            <wp:extent cx="300355" cy="285115"/>
            <wp:effectExtent l="0" t="0" r="0" b="0"/>
            <wp:docPr id="48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49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50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Usual1"/>
        <w:rPr/>
      </w:pPr>
      <w:r>
        <w:rPr/>
        <w:t>Для заполнения поля «Наличие лицензии на осуществлении медицинской деятельности (с приложением электронного образа документа)» следует ввести сведения в соответствующее поле, как показано ниже (</w:t>
      </w:r>
      <w:r>
        <w:rPr/>
        <w:fldChar w:fldCharType="begin"/>
      </w:r>
      <w:r>
        <w:instrText> REF _Ref500948561 \h </w:instrText>
      </w:r>
      <w:r>
        <w:fldChar w:fldCharType="separate"/>
      </w:r>
      <w:r>
        <w:t>Рисунок 33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0" distR="5715">
            <wp:extent cx="5937885" cy="1054735"/>
            <wp:effectExtent l="0" t="0" r="0" b="0"/>
            <wp:docPr id="51" name="Рисунок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15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1" w:name="_Ref50094856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33</w:t>
      </w:r>
      <w:r>
        <w:fldChar w:fldCharType="end"/>
      </w:r>
      <w:bookmarkEnd w:id="101"/>
      <w:r>
        <w:rPr/>
        <w:t>– Поле Наличие лицензии на осуществлении медицинской деятельности</w:t>
      </w:r>
    </w:p>
    <w:p>
      <w:pPr>
        <w:pStyle w:val="Usual1"/>
        <w:rPr/>
      </w:pPr>
      <w:r>
        <w:rPr/>
        <w:t>В поле следует ввести лицензию и нажав кнопку «Загрузить документ» прикрепить файл.</w:t>
      </w:r>
    </w:p>
    <w:p>
      <w:pPr>
        <w:pStyle w:val="Usual1"/>
        <w:rPr/>
      </w:pPr>
      <w:r>
        <w:rPr/>
        <w:t>После загрузки файла, появится ссылка на документ.</w:t>
      </w:r>
    </w:p>
    <w:p>
      <w:pPr>
        <w:pStyle w:val="Usual1"/>
        <w:rPr/>
      </w:pPr>
      <w:r>
        <w:rPr/>
        <w:t>Для заполнения поля «</w:t>
      </w:r>
      <w:r>
        <w:rPr>
          <w:lang w:eastAsia="ru-RU"/>
        </w:rPr>
        <w:t>Сведения о руководителе, заместителях руководителя и руководителях структурных подразделений»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_Ref500948629 \h </w:instrText>
      </w:r>
      <w:r>
        <w:fldChar w:fldCharType="separate"/>
      </w:r>
      <w:r>
        <w:t>Рисунок 34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1270">
            <wp:extent cx="5923280" cy="1047750"/>
            <wp:effectExtent l="0" t="0" r="0" b="0"/>
            <wp:docPr id="52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2" w:name="_Ref50094862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34</w:t>
      </w:r>
      <w:r>
        <w:fldChar w:fldCharType="end"/>
      </w:r>
      <w:bookmarkEnd w:id="102"/>
      <w:r>
        <w:rPr/>
        <w:t> – Поле ««Сведения о руководителе, заместителях руководителя и руководителях структурных подразделений»</w:t>
      </w:r>
    </w:p>
    <w:p>
      <w:pPr>
        <w:pStyle w:val="Usual1"/>
        <w:rPr>
          <w:szCs w:val="24"/>
        </w:rPr>
      </w:pPr>
      <w:r>
        <w:rPr/>
        <w:t xml:space="preserve">Нажав на кнопку «+Новая запись» следует заполнить поля «ФИО», «Должность», «Дополнительные сведения». Для сохранения данных необходимо нажать </w:t>
      </w:r>
      <w:r>
        <w:rPr>
          <w:szCs w:val="24"/>
        </w:rPr>
        <w:t xml:space="preserve">кнопку </w:t>
      </w:r>
      <w:r>
        <w:rPr>
          <w:szCs w:val="24"/>
        </w:rPr>
        <w:drawing>
          <wp:inline distT="0" distB="0" distL="19050" distR="0">
            <wp:extent cx="274320" cy="255905"/>
            <wp:effectExtent l="0" t="0" r="0" b="0"/>
            <wp:docPr id="53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. После сохранения информации будет доступно редактирование информации, </w:t>
      </w:r>
      <w:r>
        <w:rPr>
          <w:szCs w:val="24"/>
        </w:rPr>
        <w:drawing>
          <wp:inline distT="0" distB="0" distL="19050" distR="4445">
            <wp:extent cx="300355" cy="285115"/>
            <wp:effectExtent l="0" t="0" r="0" b="0"/>
            <wp:docPr id="54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отмена редактирования </w:t>
      </w:r>
      <w:r>
        <w:rPr>
          <w:szCs w:val="24"/>
        </w:rPr>
        <w:drawing>
          <wp:inline distT="0" distB="0" distL="19050" distR="0">
            <wp:extent cx="290195" cy="248285"/>
            <wp:effectExtent l="0" t="0" r="0" b="0"/>
            <wp:docPr id="55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и удаление информации </w:t>
      </w:r>
      <w:r>
        <w:rPr>
          <w:szCs w:val="24"/>
        </w:rPr>
        <w:drawing>
          <wp:inline distT="0" distB="0" distL="19050" distR="0">
            <wp:extent cx="248285" cy="248285"/>
            <wp:effectExtent l="0" t="0" r="0" b="0"/>
            <wp:docPr id="56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>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«Структура и органы управления»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_Ref500948658 \h </w:instrText>
      </w:r>
      <w:r>
        <w:fldChar w:fldCharType="separate"/>
      </w:r>
      <w:r>
        <w:t>Рисунок 35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718185"/>
            <wp:effectExtent l="0" t="0" r="0" b="0"/>
            <wp:docPr id="57" name="Рисунок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40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3" w:name="_Ref500948658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35</w:t>
      </w:r>
      <w:r>
        <w:fldChar w:fldCharType="end"/>
      </w:r>
      <w:bookmarkEnd w:id="103"/>
      <w:r>
        <w:rPr/>
        <w:t xml:space="preserve"> – Поле </w:t>
      </w:r>
      <w:r>
        <w:rPr>
          <w:szCs w:val="24"/>
        </w:rPr>
        <w:t>«Структура и органы управления»</w:t>
      </w:r>
    </w:p>
    <w:p>
      <w:pPr>
        <w:pStyle w:val="Usual1"/>
        <w:rPr/>
      </w:pPr>
      <w:r>
        <w:rPr/>
        <w:t>Для прикрепления документа следует нажать на кнопку «Загрузить документ. После загрузки файла, появится ссылка на документ.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«Информация о государственном задании»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_Ref500948693 \h </w:instrText>
      </w:r>
      <w:r>
        <w:fldChar w:fldCharType="separate"/>
      </w:r>
      <w:r>
        <w:t>Рисунок 36</w:t>
      </w:r>
      <w:r>
        <w:fldChar w:fldCharType="end"/>
      </w:r>
      <w:r>
        <w:rPr/>
        <w:t>).</w:t>
      </w:r>
    </w:p>
    <w:p>
      <w:pPr>
        <w:pStyle w:val="Normal"/>
        <w:keepNext/>
        <w:spacing w:lineRule="auto" w:line="360" w:before="0" w:after="0"/>
        <w:rPr/>
      </w:pPr>
      <w:r>
        <w:rPr/>
        <w:drawing>
          <wp:inline distT="0" distB="0" distL="19050" distR="3175">
            <wp:extent cx="5940425" cy="720090"/>
            <wp:effectExtent l="0" t="0" r="0" b="0"/>
            <wp:docPr id="58" name="Рисунок 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43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4" w:name="_Ref500948693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36</w:t>
      </w:r>
      <w:r>
        <w:fldChar w:fldCharType="end"/>
      </w:r>
      <w:bookmarkEnd w:id="104"/>
      <w:r>
        <w:rPr/>
        <w:t> – </w:t>
      </w:r>
      <w:r>
        <w:rPr>
          <w:szCs w:val="24"/>
        </w:rPr>
        <w:t>«Информация о государственном задании»</w:t>
      </w:r>
    </w:p>
    <w:p>
      <w:pPr>
        <w:pStyle w:val="Usual1"/>
        <w:rPr/>
      </w:pPr>
      <w:r>
        <w:rPr/>
        <w:t>Для прикрепления документа следует нажать на кнопку «Загрузить документ. После загрузки файла, появится ссылка на документ.</w:t>
      </w:r>
    </w:p>
    <w:p>
      <w:pPr>
        <w:pStyle w:val="Usual1"/>
        <w:rPr/>
      </w:pPr>
      <w:r>
        <w:rPr/>
        <w:t>Для заполнения страницы «Информация для пациентов» следует нажать на соответствующую кнопку на главной странице личного кабинета.</w:t>
      </w:r>
    </w:p>
    <w:p>
      <w:pPr>
        <w:pStyle w:val="Usual1"/>
        <w:rPr/>
      </w:pPr>
      <w:r>
        <w:rPr/>
        <w:t>В данном разделе следует заполнять поля, приведенные ниже.</w:t>
      </w:r>
    </w:p>
    <w:p>
      <w:pPr>
        <w:pStyle w:val="Usual1"/>
        <w:rPr/>
      </w:pPr>
      <w:r>
        <w:rPr/>
        <w:t>Для заполнения поля «График приема граждан руководителем медицинской организации и иными уполномоченными лицами с указанием телефона, адреса электронной почты» следует ввести сведения в соответствующее поле, как показано ниже (</w:t>
      </w:r>
      <w:r>
        <w:rPr/>
        <w:fldChar w:fldCharType="begin"/>
      </w:r>
      <w:r>
        <w:instrText> REF _Ref500948729 \h </w:instrText>
      </w:r>
      <w:r>
        <w:fldChar w:fldCharType="separate"/>
      </w:r>
      <w:r>
        <w:t>Рисунок 37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0">
            <wp:extent cx="5930900" cy="1714500"/>
            <wp:effectExtent l="0" t="0" r="0" b="0"/>
            <wp:docPr id="59" name="Рисунок 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5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5" w:name="_Ref50094872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37</w:t>
      </w:r>
      <w:r>
        <w:fldChar w:fldCharType="end"/>
      </w:r>
      <w:bookmarkEnd w:id="105"/>
      <w:r>
        <w:rPr/>
        <w:t> – Поле «График приема граждан руководителем медицинской организации и иными уполномоченными лицами с указанием телефона, адреса электронной почты»</w:t>
      </w:r>
    </w:p>
    <w:p>
      <w:pPr>
        <w:pStyle w:val="Usual1"/>
        <w:rPr/>
      </w:pPr>
      <w:r>
        <w:rPr/>
        <w:t>Для заполнения формы следует нажать на кнопку «+Новая запись», как показано ниже (</w:t>
      </w:r>
      <w:r>
        <w:rPr/>
        <w:fldChar w:fldCharType="begin"/>
      </w:r>
      <w:r>
        <w:instrText> REF _Ref500948760 \h </w:instrText>
      </w:r>
      <w:r>
        <w:fldChar w:fldCharType="separate"/>
      </w:r>
      <w:r>
        <w:t>Рисунок 38</w:t>
      </w:r>
      <w:r>
        <w:fldChar w:fldCharType="end"/>
      </w:r>
      <w:r>
        <w:rPr/>
        <w:t xml:space="preserve">). </w:t>
      </w:r>
    </w:p>
    <w:p>
      <w:pPr>
        <w:pStyle w:val="Style36"/>
        <w:rPr/>
      </w:pPr>
      <w:r>
        <w:rPr/>
        <w:drawing>
          <wp:inline distT="0" distB="0" distL="19050" distR="0">
            <wp:extent cx="2332355" cy="1971675"/>
            <wp:effectExtent l="0" t="0" r="0" b="0"/>
            <wp:docPr id="60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6" w:name="_Ref500948760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38</w:t>
      </w:r>
      <w:r>
        <w:fldChar w:fldCharType="end"/>
      </w:r>
      <w:bookmarkEnd w:id="106"/>
      <w:r>
        <w:rPr/>
        <w:t> – форма ввода данных уполномоченных лиц</w:t>
      </w:r>
    </w:p>
    <w:p>
      <w:pPr>
        <w:pStyle w:val="Usual1"/>
        <w:rPr/>
      </w:pPr>
      <w:r>
        <w:rPr/>
        <w:t xml:space="preserve">Для сохранения данные следует нажать кнопку </w:t>
      </w:r>
      <w:r>
        <w:rPr/>
        <w:drawing>
          <wp:inline distT="0" distB="0" distL="19050" distR="0">
            <wp:extent cx="274320" cy="255905"/>
            <wp:effectExtent l="0" t="0" r="0" b="0"/>
            <wp:docPr id="61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. После сохранения информации будет доступно редактирование информации, </w:t>
      </w:r>
      <w:r>
        <w:rPr/>
        <w:drawing>
          <wp:inline distT="0" distB="0" distL="19050" distR="4445">
            <wp:extent cx="300355" cy="285115"/>
            <wp:effectExtent l="0" t="0" r="0" b="0"/>
            <wp:docPr id="62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63" name="Изображение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18" descr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64" name="Изображение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19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Usual1"/>
        <w:rPr/>
      </w:pPr>
      <w:r>
        <w:rPr/>
        <w:t>Нажав на кнопку «Загрузить документ» можно прикрепить файл, после загрузки файла, появится ссылка на документ.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«Режим и график работы МО»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_Ref500948813 \h </w:instrText>
      </w:r>
      <w:r>
        <w:fldChar w:fldCharType="separate"/>
      </w:r>
      <w:r>
        <w:t>Рисунок 39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658495"/>
            <wp:effectExtent l="0" t="0" r="0" b="0"/>
            <wp:docPr id="65" name="Рисунок 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58" descr="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7" w:name="_Ref500948813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39</w:t>
      </w:r>
      <w:r>
        <w:fldChar w:fldCharType="end"/>
      </w:r>
      <w:bookmarkEnd w:id="107"/>
      <w:r>
        <w:rPr/>
        <w:t xml:space="preserve"> – Поле </w:t>
      </w:r>
      <w:r>
        <w:rPr>
          <w:szCs w:val="24"/>
        </w:rPr>
        <w:t>«Режим и график работы МО»</w:t>
      </w:r>
    </w:p>
    <w:p>
      <w:pPr>
        <w:pStyle w:val="Usual1"/>
        <w:rPr/>
      </w:pPr>
      <w:r>
        <w:rPr/>
        <w:t>Нажав на кнопку «+Новая запись» следует заполнить форму, приведенную ниже (</w:t>
      </w:r>
      <w:r>
        <w:rPr/>
        <w:fldChar w:fldCharType="begin"/>
      </w:r>
      <w:r>
        <w:instrText> REF _Ref500948864 \h </w:instrText>
      </w:r>
      <w:r>
        <w:fldChar w:fldCharType="separate"/>
      </w:r>
      <w:r>
        <w:t>Рисунок 40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t xml:space="preserve"> </w:t>
      </w:r>
      <w:r>
        <w:rPr/>
        <w:drawing>
          <wp:inline distT="0" distB="0" distL="19050" distR="0">
            <wp:extent cx="2000250" cy="2255520"/>
            <wp:effectExtent l="0" t="0" r="0" b="0"/>
            <wp:docPr id="66" name="Рисунок 16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168" descr="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8" w:name="_Ref500948864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40</w:t>
      </w:r>
      <w:r>
        <w:fldChar w:fldCharType="end"/>
      </w:r>
      <w:bookmarkEnd w:id="108"/>
      <w:r>
        <w:rPr/>
        <w:t> – Форма заполнения данных о работе МО</w:t>
      </w:r>
    </w:p>
    <w:p>
      <w:pPr>
        <w:pStyle w:val="Usual1"/>
        <w:rPr/>
      </w:pPr>
      <w:r>
        <w:rPr/>
        <w:t xml:space="preserve">Сохраняем данные нажимая кнопку </w:t>
      </w:r>
      <w:r>
        <w:rPr/>
        <w:drawing>
          <wp:inline distT="0" distB="0" distL="19050" distR="0">
            <wp:extent cx="274320" cy="255905"/>
            <wp:effectExtent l="0" t="0" r="0" b="0"/>
            <wp:docPr id="67" name="Изображение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20" descr="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после сохранения информации будет доступно редактирование информации </w:t>
      </w:r>
      <w:r>
        <w:rPr/>
        <w:drawing>
          <wp:inline distT="0" distB="0" distL="19050" distR="4445">
            <wp:extent cx="300355" cy="285115"/>
            <wp:effectExtent l="0" t="0" r="0" b="0"/>
            <wp:docPr id="68" name="Изображение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21" descr="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69" name="Изображение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22" descr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70" name="Изображение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23" descr="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«Права и обязанности граждан в сфере охраны здоровья»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_Ref500948897 \h </w:instrText>
      </w:r>
      <w:r>
        <w:fldChar w:fldCharType="separate"/>
      </w:r>
      <w:r>
        <w:t>Рисунок 41</w:t>
      </w:r>
      <w:r>
        <w:fldChar w:fldCharType="end"/>
      </w:r>
      <w:r>
        <w:rPr/>
        <w:t>).</w:t>
      </w:r>
    </w:p>
    <w:p>
      <w:pPr>
        <w:pStyle w:val="Normal"/>
        <w:keepNext/>
        <w:spacing w:lineRule="auto" w:line="480" w:before="0" w:after="0"/>
        <w:jc w:val="both"/>
        <w:rPr/>
      </w:pPr>
      <w:r>
        <w:rPr/>
        <w:drawing>
          <wp:inline distT="0" distB="0" distL="19050" distR="3175">
            <wp:extent cx="5940425" cy="588010"/>
            <wp:effectExtent l="0" t="0" r="0" b="0"/>
            <wp:docPr id="71" name="Рисунок 1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173" descr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09" w:name="_Ref500948897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41</w:t>
      </w:r>
      <w:r>
        <w:fldChar w:fldCharType="end"/>
      </w:r>
      <w:bookmarkEnd w:id="109"/>
      <w:r>
        <w:rPr/>
        <w:t> – Поле «Права и обязанности граждан в сфере охраны здоровья»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«Правила внутреннего распорядка для потребителей услуг»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_Ref500948928 \h </w:instrText>
      </w:r>
      <w:r>
        <w:fldChar w:fldCharType="separate"/>
      </w:r>
      <w:r>
        <w:t>Рисунок 42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367155"/>
            <wp:effectExtent l="0" t="0" r="0" b="0"/>
            <wp:docPr id="72" name="Рисунок 1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174" descr="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0" w:name="_Ref500948928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42</w:t>
      </w:r>
      <w:r>
        <w:fldChar w:fldCharType="end"/>
      </w:r>
      <w:bookmarkEnd w:id="110"/>
      <w:r>
        <w:rPr/>
        <w:t> – Поле «Правила внутреннего распорядка для потребителей услуг»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есть возможность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«Информация о видах медицинской помощи»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_Ref500949042 \h </w:instrText>
      </w:r>
      <w:r>
        <w:fldChar w:fldCharType="separate"/>
      </w:r>
      <w:r>
        <w:t>Рисунок 43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400050"/>
            <wp:effectExtent l="0" t="0" r="0" b="0"/>
            <wp:docPr id="73" name="Рисунок 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1" w:name="_Ref500949042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43</w:t>
      </w:r>
      <w:r>
        <w:fldChar w:fldCharType="end"/>
      </w:r>
      <w:bookmarkEnd w:id="111"/>
      <w:r>
        <w:rPr/>
        <w:t> – Поле «Информация о видах медицинской помощи»</w:t>
      </w:r>
    </w:p>
    <w:p>
      <w:pPr>
        <w:pStyle w:val="Usual1"/>
        <w:rPr/>
      </w:pPr>
      <w:r>
        <w:rPr/>
        <w:t>Для заполнения поля «О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помощи» следует ввести сведения в соответствующее поле, как показано ниже (</w:t>
      </w:r>
      <w:r>
        <w:rPr/>
        <w:fldChar w:fldCharType="begin"/>
      </w:r>
      <w:r>
        <w:instrText> REF _Ref500949071 \h </w:instrText>
      </w:r>
      <w:r>
        <w:fldChar w:fldCharType="separate"/>
      </w:r>
      <w:r>
        <w:t>Рисунок 44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728470"/>
            <wp:effectExtent l="0" t="0" r="0" b="0"/>
            <wp:docPr id="74" name="Рисунок 1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177" descr="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2" w:name="_Ref50094907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44</w:t>
      </w:r>
      <w:r>
        <w:fldChar w:fldCharType="end"/>
      </w:r>
      <w:bookmarkEnd w:id="112"/>
      <w:r>
        <w:rPr/>
        <w:t> – Поле «О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помощи»</w:t>
      </w:r>
    </w:p>
    <w:p>
      <w:pPr>
        <w:pStyle w:val="Usual1"/>
        <w:rPr/>
      </w:pPr>
      <w:r>
        <w:rPr/>
        <w:t>Для заполнения поля «О порядке,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помощи» следует ввести сведения в соответствующее поле, как показано ниже (</w:t>
      </w:r>
      <w:r>
        <w:rPr/>
        <w:fldChar w:fldCharType="begin"/>
      </w:r>
      <w:r>
        <w:instrText> REF _Ref500949104 \h </w:instrText>
      </w:r>
      <w:r>
        <w:fldChar w:fldCharType="separate"/>
      </w:r>
      <w:r>
        <w:t>Рисунок 45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901825"/>
            <wp:effectExtent l="0" t="0" r="0" b="0"/>
            <wp:docPr id="75" name="Рисунок 1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179" descr="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3" w:name="_Ref500949104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45</w:t>
      </w:r>
      <w:r>
        <w:fldChar w:fldCharType="end"/>
      </w:r>
      <w:bookmarkEnd w:id="113"/>
      <w:r>
        <w:rPr/>
        <w:t> – Поле «О порядке,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помощи»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</w:t>
      </w:r>
      <w:r>
        <w:rPr/>
        <w:t>О показателях доступности и качества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</w:t>
      </w:r>
      <w:r>
        <w:rPr>
          <w:szCs w:val="24"/>
          <w:lang w:eastAsia="ru-RU"/>
        </w:rPr>
        <w:t>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_Ref500949130 \h </w:instrText>
      </w:r>
      <w:r>
        <w:fldChar w:fldCharType="separate"/>
      </w:r>
      <w:r>
        <w:t>Рисунок 46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894205"/>
            <wp:effectExtent l="0" t="0" r="0" b="0"/>
            <wp:docPr id="76" name="Рисунок 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82" descr="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4" w:name="_Ref500949130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46</w:t>
      </w:r>
      <w:r>
        <w:fldChar w:fldCharType="end"/>
      </w:r>
      <w:bookmarkEnd w:id="114"/>
      <w:r>
        <w:rPr/>
        <w:t> – Поле «О показателях доступности и качества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год»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«О правилах записи на первичный прием/консультацию/обследование»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_Ref500949161 \h </w:instrText>
      </w:r>
      <w:r>
        <w:fldChar w:fldCharType="separate"/>
      </w:r>
      <w:r>
        <w:t>Рисунок 47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386840"/>
            <wp:effectExtent l="0" t="0" r="0" b="0"/>
            <wp:docPr id="77" name="Рисунок 1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180" descr="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5" w:name="_Ref50094916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47</w:t>
      </w:r>
      <w:r>
        <w:fldChar w:fldCharType="end"/>
      </w:r>
      <w:bookmarkEnd w:id="115"/>
      <w:r>
        <w:rPr/>
        <w:t> – «О правилах записи на первичный прием/консультацию/обследование»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«О правилах подготовки к диагностическим исследованиям»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_Ref500949256 \h </w:instrText>
      </w:r>
      <w:r>
        <w:fldChar w:fldCharType="separate"/>
      </w:r>
      <w:r>
        <w:t>Рисунок 48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390015"/>
            <wp:effectExtent l="0" t="0" r="0" b="0"/>
            <wp:docPr id="78" name="Рисунок 18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183" descr="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6" w:name="_Ref500949256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48</w:t>
      </w:r>
      <w:r>
        <w:fldChar w:fldCharType="end"/>
      </w:r>
      <w:bookmarkEnd w:id="116"/>
      <w:r>
        <w:rPr/>
        <w:t> – Поле «О правилах подготовки к диагностическим исследованиям»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«О правилах и сроках госпитализации»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_Ref500949289 \h </w:instrText>
      </w:r>
      <w:r>
        <w:fldChar w:fldCharType="separate"/>
      </w:r>
      <w:r>
        <w:t>Рисунок 49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384935"/>
            <wp:effectExtent l="0" t="0" r="0" b="0"/>
            <wp:docPr id="79" name="Рисунок 9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91" descr="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7" w:name="_Ref50094928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49</w:t>
      </w:r>
      <w:r>
        <w:fldChar w:fldCharType="end"/>
      </w:r>
      <w:bookmarkEnd w:id="117"/>
      <w:r>
        <w:rPr/>
        <w:t xml:space="preserve"> – Поле </w:t>
      </w:r>
      <w:r>
        <w:rPr>
          <w:szCs w:val="24"/>
        </w:rPr>
        <w:t>«О правилах и сроках госпитализации»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«График работы и часы приема медицинских работников»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_Ref500949337 \h </w:instrText>
      </w:r>
      <w:r>
        <w:fldChar w:fldCharType="separate"/>
      </w:r>
      <w:r>
        <w:t>Рисунок 50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458595"/>
            <wp:effectExtent l="0" t="0" r="0" b="0"/>
            <wp:docPr id="80" name="Рисунок 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94" descr="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8" w:name="_Ref500949337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50</w:t>
      </w:r>
      <w:r>
        <w:fldChar w:fldCharType="end"/>
      </w:r>
      <w:bookmarkEnd w:id="118"/>
      <w:r>
        <w:rPr/>
        <w:t> – Поле «График работы и часы приема медицинских работников»</w:t>
      </w:r>
    </w:p>
    <w:p>
      <w:pPr>
        <w:pStyle w:val="Usual1"/>
        <w:rPr/>
      </w:pPr>
      <w:r>
        <w:rPr/>
        <w:t>В разделе «Диспансеризация» следует заполнить поля, приведенные ниже.</w:t>
      </w:r>
    </w:p>
    <w:p>
      <w:pPr>
        <w:pStyle w:val="Usual1"/>
        <w:rPr/>
      </w:pPr>
      <w:r>
        <w:rPr/>
        <w:t>Для заполнения поля «О сроках, порядке, результатах проводимой диспансеризации населения в медицинской организации, оказывающей первичную медико-санитарную помощь, и имеющей прикрепленное население» следует ввести сведения в соответствующее поле, как показано ниже (</w:t>
      </w:r>
      <w:r>
        <w:rPr/>
        <w:fldChar w:fldCharType="begin"/>
      </w:r>
      <w:r>
        <w:instrText> REF _Ref500949367 \h </w:instrText>
      </w:r>
      <w:r>
        <w:fldChar w:fldCharType="separate"/>
      </w:r>
      <w:r>
        <w:t>Рисунок 51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661160"/>
            <wp:effectExtent l="0" t="0" r="0" b="0"/>
            <wp:docPr id="81" name="Рисунок 1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106" descr="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19" w:name="_Ref500949367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51</w:t>
      </w:r>
      <w:r>
        <w:fldChar w:fldCharType="end"/>
      </w:r>
      <w:bookmarkEnd w:id="119"/>
      <w:r>
        <w:rPr/>
        <w:t> – Поле «О сроках, порядке, результатах проводимой диспансеризации населения в медицинской организации, оказывающей первичную медико-санитарную помощь, и имеющей прикрепленное население»</w:t>
      </w:r>
    </w:p>
    <w:p>
      <w:pPr>
        <w:pStyle w:val="Usual1"/>
        <w:rPr/>
      </w:pPr>
      <w:r>
        <w:rPr/>
        <w:t>В разделе «Платные услуги» следует заполнить поля, приведенные ниже.</w:t>
      </w:r>
    </w:p>
    <w:p>
      <w:pPr>
        <w:pStyle w:val="Usual1"/>
        <w:rPr/>
      </w:pPr>
      <w:r>
        <w:rPr/>
        <w:t>Для заполнения поля «О правилах предоставления платных медицинских услуг» следует ввести сведения в соответствующее поле, как показано ниже (</w:t>
      </w:r>
      <w:r>
        <w:rPr/>
        <w:fldChar w:fldCharType="begin"/>
      </w:r>
      <w:r>
        <w:instrText> REF _Ref500949419 \h </w:instrText>
      </w:r>
      <w:r>
        <w:fldChar w:fldCharType="separate"/>
      </w:r>
      <w:r>
        <w:t>Рисунок 52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432560"/>
            <wp:effectExtent l="0" t="0" r="0" b="0"/>
            <wp:docPr id="82" name="Рисунок 1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112" descr="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20" w:name="_Ref500949419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52</w:t>
      </w:r>
      <w:r>
        <w:fldChar w:fldCharType="end"/>
      </w:r>
      <w:bookmarkEnd w:id="120"/>
      <w:r>
        <w:rPr/>
        <w:t> – Поле «О правилах предоставления платных медицинских услуг»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«О перечне оказываемых платных медицинских услуг. О ценах (тарифах) на медицинские услуги»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_Ref500949596 \h </w:instrText>
      </w:r>
      <w:r>
        <w:fldChar w:fldCharType="separate"/>
      </w:r>
      <w:r>
        <w:t>Рисунок 53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283970"/>
            <wp:effectExtent l="0" t="0" r="0" b="0"/>
            <wp:docPr id="83" name="Рисунок 1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Рисунок 115" descr="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21" w:name="_Ref500949596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53</w:t>
      </w:r>
      <w:r>
        <w:fldChar w:fldCharType="end"/>
      </w:r>
      <w:bookmarkEnd w:id="121"/>
      <w:r>
        <w:rPr/>
        <w:t> – Поле «О перечне оказываемых платных медицинских услуг. О ценах (тарифах) на медицинские услуги»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«+Новая запись»</w:t>
      </w:r>
      <w:r>
        <w:rPr/>
        <w:t xml:space="preserve"> заполняем услугу и стоимость.</w:t>
      </w:r>
    </w:p>
    <w:p>
      <w:pPr>
        <w:pStyle w:val="Usual1"/>
        <w:rPr/>
      </w:pPr>
      <w:r>
        <w:rPr/>
        <w:t xml:space="preserve">Сохраняем данные нажимая кнопку </w:t>
      </w:r>
      <w:r>
        <w:rPr/>
        <w:drawing>
          <wp:inline distT="0" distB="0" distL="19050" distR="0">
            <wp:extent cx="274320" cy="255905"/>
            <wp:effectExtent l="0" t="0" r="0" b="0"/>
            <wp:docPr id="84" name="Изображение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24" descr="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после сохранения информации будет доступно редактирование информации </w:t>
      </w:r>
      <w:r>
        <w:rPr/>
        <w:drawing>
          <wp:inline distT="0" distB="0" distL="19050" distR="4445">
            <wp:extent cx="300355" cy="285115"/>
            <wp:effectExtent l="0" t="0" r="0" b="0"/>
            <wp:docPr id="85" name="Изображение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Изображение25" descr="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86" name="Изображение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Изображение26" descr="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87" name="Изображение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Изображение27" descr="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>Для заполнения поля «Порядок, форма предоставления медицинских услуг и порядок их оплаты» следует ввести сведения в соответствующее поле, как показано ниже (</w:t>
      </w:r>
      <w:r>
        <w:rPr/>
        <w:fldChar w:fldCharType="begin"/>
      </w:r>
      <w:r>
        <w:instrText> REF _Ref500949661 \h </w:instrText>
      </w:r>
      <w:r>
        <w:fldChar w:fldCharType="separate"/>
      </w:r>
      <w:r>
        <w:t>Рисунок 54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367790"/>
            <wp:effectExtent l="0" t="0" r="0" b="0"/>
            <wp:docPr id="88" name="Рисунок 1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118" descr="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22" w:name="_Ref500949661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54</w:t>
      </w:r>
      <w:r>
        <w:fldChar w:fldCharType="end"/>
      </w:r>
      <w:bookmarkEnd w:id="122"/>
      <w:r>
        <w:rPr/>
        <w:t> – Поле «Порядок, форма предоставления медицинских услуг и порядок их оплаты»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 xml:space="preserve">Для заполнения поля </w:t>
      </w:r>
      <w:r>
        <w:rPr>
          <w:szCs w:val="24"/>
          <w:lang w:eastAsia="ru-RU"/>
        </w:rPr>
        <w:t>«Права и обязанности граждан в сфере охраны здоровья»</w:t>
      </w:r>
      <w:r>
        <w:rPr/>
        <w:t xml:space="preserve"> следует ввести сведения в соответствующее поле, как показано ниже (</w:t>
      </w:r>
      <w:r>
        <w:rPr/>
        <w:fldChar w:fldCharType="begin"/>
      </w:r>
      <w:r>
        <w:instrText> REF _Ref500949705 \h </w:instrText>
      </w:r>
      <w:r>
        <w:fldChar w:fldCharType="separate"/>
      </w:r>
      <w:r>
        <w:t>Рисунок 55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723900"/>
            <wp:effectExtent l="0" t="0" r="0" b="0"/>
            <wp:docPr id="89" name="Рисунок 1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133" descr="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23" w:name="_Ref50094970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55</w:t>
      </w:r>
      <w:r>
        <w:fldChar w:fldCharType="end"/>
      </w:r>
      <w:bookmarkEnd w:id="123"/>
      <w:r>
        <w:rPr/>
        <w:t> – Поле «Права и обязанности граждан в сфере охраны здоровья»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«Загрузить документ»</w:t>
      </w:r>
      <w:r>
        <w:rPr/>
        <w:t xml:space="preserve"> можно прикрепить файл. После загрузки файла появится ссылка на документ, редактировать ее не обязательно.</w:t>
      </w:r>
    </w:p>
    <w:p>
      <w:pPr>
        <w:pStyle w:val="Usual1"/>
        <w:rPr/>
      </w:pPr>
      <w:r>
        <w:rPr/>
        <w:t>Для заполнения поля «Сведения о медицинских работниках, участвующих в предоставлении платных медицинских услуг об уровне их образования и об их квалификации. График работы медицинских работников, участвующих в предоставлении платных медицинских услуг» следует ввести сведения в соответствующее поле, как показано ниже (</w:t>
      </w:r>
      <w:r>
        <w:rPr/>
        <w:fldChar w:fldCharType="begin"/>
      </w:r>
      <w:r>
        <w:instrText> REF _Ref500949850 \h </w:instrText>
      </w:r>
      <w:r>
        <w:fldChar w:fldCharType="separate"/>
      </w:r>
      <w:r>
        <w:t>Рисунок 56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1507490"/>
            <wp:effectExtent l="0" t="0" r="0" b="0"/>
            <wp:docPr id="90" name="Рисунок 1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136" descr="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24" w:name="_Ref500949850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56</w:t>
      </w:r>
      <w:r>
        <w:fldChar w:fldCharType="end"/>
      </w:r>
      <w:bookmarkEnd w:id="124"/>
      <w:r>
        <w:rPr/>
        <w:t> – Поле «Сведения о медицинских работниках, участвующих в предоставлении платных медицинских услуг об уровне их образования и об их квалификации. График работы медицинских работников, участвующих в предоставлении платных медицинских услуг»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«+Новая запись»</w:t>
      </w:r>
      <w:r>
        <w:rPr/>
        <w:t xml:space="preserve"> заполняем форму, всплывающую в новом окне.</w:t>
      </w:r>
    </w:p>
    <w:p>
      <w:pPr>
        <w:pStyle w:val="Usual1"/>
        <w:rPr/>
      </w:pPr>
      <w:r>
        <w:rPr/>
        <w:t xml:space="preserve">Сохраняем данные нажимая кнопку </w:t>
      </w:r>
      <w:r>
        <w:rPr/>
        <w:drawing>
          <wp:inline distT="0" distB="0" distL="19050" distR="0">
            <wp:extent cx="274320" cy="255905"/>
            <wp:effectExtent l="0" t="0" r="0" b="0"/>
            <wp:docPr id="91" name="Изображение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28" descr="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после сохранения информации будет доступно редактирование информации </w:t>
      </w:r>
      <w:r>
        <w:rPr/>
        <w:drawing>
          <wp:inline distT="0" distB="0" distL="19050" distR="4445">
            <wp:extent cx="300355" cy="285115"/>
            <wp:effectExtent l="0" t="0" r="0" b="0"/>
            <wp:docPr id="92" name="Изображение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Изображение29" descr="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93" name="Изображение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Изображение30" descr="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94" name="Изображение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Изображение31" descr="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Usual1"/>
        <w:rPr/>
      </w:pPr>
      <w:r>
        <w:rPr/>
        <w:t>Для заполнения раздела «Медицинские работники» следует заполнить поля, показанные ниже.</w:t>
      </w:r>
    </w:p>
    <w:p>
      <w:pPr>
        <w:pStyle w:val="Usual1"/>
        <w:rPr/>
      </w:pPr>
      <w:r>
        <w:rPr/>
        <w:t>Для заполнения поля «Фамилия, имя, отчество (при наличии) медицинского работника, занимаемая должность» следует ввести сведения в соответствующее поле, как показано ниже (</w:t>
      </w:r>
      <w:r>
        <w:rPr/>
        <w:fldChar w:fldCharType="begin"/>
      </w:r>
      <w:r>
        <w:instrText> REF _Ref500949905 \h </w:instrText>
      </w:r>
      <w:r>
        <w:fldChar w:fldCharType="separate"/>
      </w:r>
      <w:r>
        <w:t>Рисунок 57</w:t>
      </w:r>
      <w:r>
        <w:fldChar w:fldCharType="end"/>
      </w:r>
      <w:r>
        <w:rPr/>
        <w:t>).</w:t>
      </w:r>
    </w:p>
    <w:p>
      <w:pPr>
        <w:pStyle w:val="Style36"/>
        <w:rPr/>
      </w:pPr>
      <w:r>
        <w:rPr/>
        <w:drawing>
          <wp:inline distT="0" distB="0" distL="19050" distR="3175">
            <wp:extent cx="5940425" cy="920750"/>
            <wp:effectExtent l="0" t="0" r="0" b="0"/>
            <wp:docPr id="95" name="Рисунок 1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145" descr="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7"/>
        <w:rPr/>
      </w:pPr>
      <w:bookmarkStart w:id="125" w:name="_Ref500949905"/>
      <w:r>
        <w:rPr/>
        <w:t xml:space="preserve">Рисунок </w:t>
      </w:r>
      <w:r>
        <w:rPr/>
        <w:fldChar w:fldCharType="begin"/>
      </w:r>
      <w:r>
        <w:instrText> SEQ Рисунок \* ARABIC </w:instrText>
      </w:r>
      <w:r>
        <w:fldChar w:fldCharType="separate"/>
      </w:r>
      <w:r>
        <w:t>57</w:t>
      </w:r>
      <w:r>
        <w:fldChar w:fldCharType="end"/>
      </w:r>
      <w:bookmarkEnd w:id="125"/>
      <w:r>
        <w:rPr/>
        <w:t> – Поле «Фамилия, имя, отчество (при наличии) медицинского работника, занимаемая должность»</w:t>
      </w:r>
    </w:p>
    <w:p>
      <w:pPr>
        <w:pStyle w:val="Usual1"/>
        <w:rPr/>
      </w:pPr>
      <w:r>
        <w:rPr/>
        <w:t xml:space="preserve">Нажав на кнопку </w:t>
      </w:r>
      <w:r>
        <w:rPr>
          <w:lang w:eastAsia="ru-RU" w:bidi="ar-SA"/>
        </w:rPr>
        <w:t>«+Новая запись»</w:t>
      </w:r>
      <w:r>
        <w:rPr/>
        <w:t xml:space="preserve"> и заполняем всплывающую форму </w:t>
      </w:r>
    </w:p>
    <w:p>
      <w:pPr>
        <w:pStyle w:val="Usual1"/>
        <w:rPr/>
      </w:pPr>
      <w:r>
        <w:rPr/>
        <w:t xml:space="preserve">Сохраняем данные нажимая кнопку </w:t>
      </w:r>
      <w:r>
        <w:rPr/>
        <w:drawing>
          <wp:inline distT="0" distB="0" distL="19050" distR="0">
            <wp:extent cx="274320" cy="255905"/>
            <wp:effectExtent l="0" t="0" r="0" b="0"/>
            <wp:docPr id="96" name="Изображение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Изображение32" descr="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после сохранения информации будет доступно редактирование информации </w:t>
      </w:r>
      <w:r>
        <w:rPr/>
        <w:drawing>
          <wp:inline distT="0" distB="0" distL="19050" distR="4445">
            <wp:extent cx="300355" cy="285115"/>
            <wp:effectExtent l="0" t="0" r="0" b="0"/>
            <wp:docPr id="97" name="Изображение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Изображение33" descr="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отмена редактирования </w:t>
      </w:r>
      <w:r>
        <w:rPr/>
        <w:drawing>
          <wp:inline distT="0" distB="0" distL="19050" distR="0">
            <wp:extent cx="290195" cy="248285"/>
            <wp:effectExtent l="0" t="0" r="0" b="0"/>
            <wp:docPr id="98" name="Изображение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Изображение34" descr="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и удаление информации </w:t>
      </w:r>
      <w:r>
        <w:rPr/>
        <w:drawing>
          <wp:inline distT="0" distB="0" distL="19050" distR="0">
            <wp:extent cx="248285" cy="248285"/>
            <wp:effectExtent l="0" t="0" r="0" b="0"/>
            <wp:docPr id="99" name="Изображение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Изображение35" descr="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Usual1"/>
        <w:rPr/>
      </w:pPr>
      <w:r>
        <w:rPr/>
        <w:t xml:space="preserve">Остальные разделы личного кабинета заполняются аналогично. </w:t>
      </w:r>
    </w:p>
    <w:sectPr>
      <w:footerReference w:type="default" r:id="rId102"/>
      <w:type w:val="nextPage"/>
      <w:pgSz w:w="11906" w:h="16838"/>
      <w:pgMar w:left="1134" w:right="566" w:header="0" w:top="1134" w:footer="708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 Полужирный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58808913"/>
    </w:sdtPr>
    <w:sdtContent>
      <w:p>
        <w:pPr>
          <w:pStyle w:val="Style30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53159311"/>
    </w:sdtPr>
    <w:sdtContent>
      <w:p>
        <w:pPr>
          <w:pStyle w:val="Style30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instrText> PAGE </w:instrText>
        </w:r>
        <w:r>
          <w:fldChar w:fldCharType="separate"/>
        </w:r>
        <w:r>
          <w:t>28</w:t>
        </w:r>
        <w:r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lvlText w:val="%1"/>
      <w:lvlJc w:val="left"/>
      <w:pPr>
        <w:ind w:left="432" w:hanging="432"/>
      </w:pPr>
    </w:lvl>
    <w:lvl w:ilvl="1">
      <w:start w:val="1"/>
      <w:pStyle w:val="2"/>
      <w:numFmt w:val="decimal"/>
      <w:lvlText w:val="%1.%2"/>
      <w:lvlJc w:val="left"/>
      <w:pPr>
        <w:ind w:left="576" w:hanging="576"/>
      </w:pPr>
    </w:lvl>
    <w:lvl w:ilvl="2">
      <w:start w:val="1"/>
      <w:pStyle w:val="3"/>
      <w:numFmt w:val="decimal"/>
      <w:lvlText w:val="%1.%2.%3"/>
      <w:lvlJc w:val="left"/>
      <w:pPr>
        <w:ind w:left="720" w:hanging="720"/>
      </w:pPr>
    </w:lvl>
    <w:lvl w:ilvl="3">
      <w:start w:val="1"/>
      <w:pStyle w:val="4"/>
      <w:numFmt w:val="decimal"/>
      <w:lvlText w:val="%1.%2.%3.%4"/>
      <w:lvlJc w:val="left"/>
      <w:pPr>
        <w:ind w:left="864" w:hanging="864"/>
      </w:pPr>
    </w:lvl>
    <w:lvl w:ilvl="4">
      <w:start w:val="1"/>
      <w:pStyle w:val="5"/>
      <w:numFmt w:val="decimal"/>
      <w:lvlText w:val="%1.%2.%3.%4.%5"/>
      <w:lvlJc w:val="left"/>
      <w:pPr>
        <w:ind w:left="1008" w:hanging="1008"/>
      </w:pPr>
    </w:lvl>
    <w:lvl w:ilvl="5">
      <w:start w:val="1"/>
      <w:pStyle w:val="6"/>
      <w:numFmt w:val="decimal"/>
      <w:lvlText w:val="%1.%2.%3.%4.%5.%6"/>
      <w:lvlJc w:val="left"/>
      <w:pPr>
        <w:ind w:left="1152" w:hanging="1152"/>
      </w:pPr>
    </w:lvl>
    <w:lvl w:ilvl="6">
      <w:start w:val="1"/>
      <w:pStyle w:val="7"/>
      <w:numFmt w:val="decimal"/>
      <w:lvlText w:val="%1.%2.%3.%4.%5.%6.%7"/>
      <w:lvlJc w:val="left"/>
      <w:pPr>
        <w:ind w:left="1296" w:hanging="1296"/>
      </w:pPr>
    </w:lvl>
    <w:lvl w:ilvl="7">
      <w:start w:val="1"/>
      <w:pStyle w:val="8"/>
      <w:numFmt w:val="decimal"/>
      <w:lvlText w:val="%1.%2.%3.%4.%5.%6.%7.%8"/>
      <w:lvlJc w:val="left"/>
      <w:pPr>
        <w:ind w:left="1440" w:hanging="1440"/>
      </w:pPr>
    </w:lvl>
    <w:lvl w:ilvl="8">
      <w:start w:val="1"/>
      <w:pStyle w:val="9"/>
      <w:numFmt w:val="decimal"/>
      <w:lvlText w:val="%1.%2.%3.%4.%5.%6.%7.%8.%9"/>
      <w:lvlJc w:val="left"/>
      <w:pPr>
        <w:ind w:left="1584" w:hanging="1584"/>
      </w:pPr>
    </w:lvl>
  </w:abstractNum>
  <w:abstractNum w:abstractNumId="2">
    <w:lvl w:ilvl="0">
      <w:start w:val="1"/>
      <w:numFmt w:val="bullet"/>
      <w:suff w:val="space"/>
      <w:lvlText w:val=""/>
      <w:lvlJc w:val="left"/>
      <w:pPr>
        <w:ind w:left="-142" w:hanging="-851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"/>
      <w:lvlJc w:val="left"/>
      <w:pPr>
        <w:ind w:left="0" w:hanging="-851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2"/>
        <w:spacing w:val="0"/>
        <w:i w:val="false"/>
        <w:u w:val="none"/>
        <w:b w:val="false"/>
        <w:effect w:val="none"/>
        <w:iCs w:val="false"/>
        <w:bCs w:val="false"/>
        <w:em w:val="none"/>
        <w:vanish w:val="false"/>
        <w:color w:val="000000"/>
      </w:rPr>
    </w:lvl>
    <w:lvl w:ilvl="2">
      <w:start w:val="1"/>
      <w:numFmt w:val="bullet"/>
      <w:lvlText w:val=""/>
      <w:lvlJc w:val="left"/>
      <w:pPr>
        <w:ind w:left="0" w:hanging="-851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hanging="-851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hanging="-851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0" w:hanging="-851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hanging="-851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hanging="-851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0" w:hanging="-851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)"/>
      <w:lvlJc w:val="left"/>
      <w:pPr>
        <w:ind w:left="0" w:hanging="-141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lvl w:ilvl="0">
      <w:start w:val="1"/>
      <w:numFmt w:val="decimal"/>
      <w:suff w:val="space"/>
      <w:lvlText w:val="%1"/>
      <w:lvlJc w:val="left"/>
      <w:pPr>
        <w:ind w:left="0" w:hanging="-851"/>
      </w:pPr>
      <w:rPr>
        <w:sz w:val="28"/>
        <w:i w:val="false"/>
        <w:b/>
        <w:color w:val="00000A"/>
      </w:rPr>
    </w:lvl>
    <w:lvl w:ilvl="1">
      <w:start w:val="1"/>
      <w:numFmt w:val="decimal"/>
      <w:suff w:val="space"/>
      <w:lvlText w:val="%1.%2"/>
      <w:lvlJc w:val="left"/>
      <w:pPr>
        <w:ind w:left="0" w:hanging="-851"/>
      </w:pPr>
      <w:rPr>
        <w:sz w:val="28"/>
        <w:i w:val="false"/>
        <w:b/>
        <w:color w:val="00000A"/>
      </w:rPr>
    </w:lvl>
    <w:lvl w:ilvl="2">
      <w:start w:val="1"/>
      <w:numFmt w:val="decimal"/>
      <w:suff w:val="space"/>
      <w:lvlText w:val="%1.%2.%3"/>
      <w:lvlJc w:val="left"/>
      <w:pPr>
        <w:ind w:left="4962" w:hanging="-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iCs w:val="false"/>
        <w:bCs w:val="false"/>
        <w:em w:val="none"/>
        <w:vanish w:val="false"/>
        <w:rFonts w:cs="Times New Roman"/>
        <w:color w:val="00000A"/>
      </w:rPr>
    </w:lvl>
    <w:lvl w:ilvl="3">
      <w:start w:val="1"/>
      <w:numFmt w:val="decimal"/>
      <w:suff w:val="space"/>
      <w:lvlText w:val="%1.%2.%3.%4"/>
      <w:lvlJc w:val="left"/>
      <w:pPr>
        <w:ind w:left="-141" w:hanging="-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iCs w:val="false"/>
        <w:bCs w:val="false"/>
        <w:em w:val="none"/>
        <w:vanish w:val="false"/>
        <w:rFonts w:cs="Times New Roman"/>
        <w:color w:val="00000A"/>
      </w:rPr>
    </w:lvl>
    <w:lvl w:ilvl="4">
      <w:start w:val="1"/>
      <w:numFmt w:val="decimal"/>
      <w:suff w:val="space"/>
      <w:lvlText w:val="%1.%2.%3.%4.%5"/>
      <w:lvlJc w:val="left"/>
      <w:pPr>
        <w:ind w:left="0" w:hanging="-851"/>
      </w:pPr>
      <w:rPr>
        <w:sz w:val="28"/>
        <w:i w:val="false"/>
        <w:b/>
        <w:color w:val="00000A"/>
      </w:rPr>
    </w:lvl>
    <w:lvl w:ilvl="5">
      <w:start w:val="1"/>
      <w:numFmt w:val="decimal"/>
      <w:suff w:val="space"/>
      <w:lvlText w:val="%1.%2.%3.%4.%5.%6"/>
      <w:lvlJc w:val="left"/>
      <w:pPr>
        <w:ind w:left="0" w:hanging="-851"/>
      </w:pPr>
      <w:rPr>
        <w:sz w:val="28"/>
        <w:i w:val="false"/>
        <w:b/>
        <w:color w:val="00000A"/>
      </w:rPr>
    </w:lvl>
    <w:lvl w:ilvl="6">
      <w:start w:val="1"/>
      <w:numFmt w:val="decimal"/>
      <w:suff w:val="space"/>
      <w:lvlText w:val="%1.%2.%3.%4.%5.%6.%7"/>
      <w:lvlJc w:val="left"/>
      <w:pPr>
        <w:ind w:left="0" w:hanging="-851"/>
      </w:pPr>
      <w:rPr>
        <w:sz w:val="28"/>
        <w:i w:val="false"/>
        <w:b/>
        <w:color w:val="00000A"/>
      </w:rPr>
    </w:lvl>
    <w:lvl w:ilvl="7">
      <w:start w:val="1"/>
      <w:numFmt w:val="decimal"/>
      <w:suff w:val="space"/>
      <w:lvlText w:val="%8)"/>
      <w:lvlJc w:val="left"/>
      <w:pPr>
        <w:ind w:left="0" w:hanging="-851"/>
      </w:pPr>
      <w:rPr>
        <w:sz w:val="28"/>
        <w:i w:val="false"/>
        <w:b w:val="false"/>
        <w:color w:val="00000A"/>
      </w:rPr>
    </w:lvl>
    <w:lvl w:ilvl="8">
      <w:start w:val="1"/>
      <w:numFmt w:val="decimal"/>
      <w:lvlText w:val="%9)"/>
      <w:lvlJc w:val="left"/>
      <w:pPr>
        <w:ind w:left="0" w:hanging="-1134"/>
      </w:pPr>
      <w:rPr>
        <w:sz w:val="28"/>
        <w:i w:val="false"/>
        <w:b w:val="false"/>
        <w:color w:val="00000A"/>
      </w:rPr>
    </w:lvl>
  </w:abstractNum>
  <w:abstractNum w:abstractNumId="5">
    <w:lvl w:ilvl="0">
      <w:start w:val="1"/>
      <w:numFmt w:val="decimal"/>
      <w:suff w:val="space"/>
      <w:lvlText w:val="%1"/>
      <w:lvlJc w:val="left"/>
      <w:pPr>
        <w:ind w:left="0" w:hanging="-851"/>
      </w:pPr>
      <w:rPr>
        <w:sz w:val="28"/>
        <w:i w:val="false"/>
        <w:b/>
        <w:color w:val="00000A"/>
      </w:rPr>
    </w:lvl>
    <w:lvl w:ilvl="1">
      <w:start w:val="1"/>
      <w:numFmt w:val="decimal"/>
      <w:suff w:val="space"/>
      <w:lvlText w:val="%1.%2"/>
      <w:lvlJc w:val="left"/>
      <w:pPr>
        <w:ind w:left="0" w:hanging="-851"/>
      </w:pPr>
      <w:rPr>
        <w:sz w:val="28"/>
        <w:i w:val="false"/>
        <w:b/>
        <w:color w:val="00000A"/>
      </w:rPr>
    </w:lvl>
    <w:lvl w:ilvl="2">
      <w:start w:val="1"/>
      <w:numFmt w:val="decimal"/>
      <w:suff w:val="space"/>
      <w:lvlText w:val="%1.%2.%3"/>
      <w:lvlJc w:val="left"/>
      <w:pPr>
        <w:ind w:left="4962" w:hanging="-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iCs w:val="false"/>
        <w:bCs w:val="false"/>
        <w:em w:val="none"/>
        <w:vanish w:val="false"/>
        <w:rFonts w:cs="Times New Roman"/>
        <w:color w:val="00000A"/>
      </w:rPr>
    </w:lvl>
    <w:lvl w:ilvl="3">
      <w:start w:val="1"/>
      <w:numFmt w:val="decimal"/>
      <w:suff w:val="space"/>
      <w:lvlText w:val="%1.%2.%3.%4"/>
      <w:lvlJc w:val="left"/>
      <w:pPr>
        <w:ind w:left="-141" w:hanging="-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iCs w:val="false"/>
        <w:bCs w:val="false"/>
        <w:em w:val="none"/>
        <w:vanish w:val="false"/>
        <w:rFonts w:cs="Times New Roman"/>
        <w:color w:val="00000A"/>
      </w:rPr>
    </w:lvl>
    <w:lvl w:ilvl="4">
      <w:start w:val="1"/>
      <w:numFmt w:val="decimal"/>
      <w:suff w:val="space"/>
      <w:lvlText w:val="%1.%2.%3.%4.%5"/>
      <w:lvlJc w:val="left"/>
      <w:pPr>
        <w:ind w:left="0" w:hanging="-851"/>
      </w:pPr>
      <w:rPr>
        <w:sz w:val="28"/>
        <w:i w:val="false"/>
        <w:b/>
        <w:color w:val="00000A"/>
      </w:rPr>
    </w:lvl>
    <w:lvl w:ilvl="5">
      <w:start w:val="1"/>
      <w:numFmt w:val="decimal"/>
      <w:suff w:val="space"/>
      <w:lvlText w:val="%1.%2.%3.%4.%5.%6"/>
      <w:lvlJc w:val="left"/>
      <w:pPr>
        <w:ind w:left="0" w:hanging="-851"/>
      </w:pPr>
      <w:rPr>
        <w:sz w:val="28"/>
        <w:i w:val="false"/>
        <w:b/>
        <w:color w:val="00000A"/>
      </w:rPr>
    </w:lvl>
    <w:lvl w:ilvl="6">
      <w:start w:val="1"/>
      <w:numFmt w:val="decimal"/>
      <w:suff w:val="space"/>
      <w:lvlText w:val="%1.%2.%3.%4.%5.%6.%7"/>
      <w:lvlJc w:val="left"/>
      <w:pPr>
        <w:ind w:left="0" w:hanging="-851"/>
      </w:pPr>
      <w:rPr>
        <w:sz w:val="28"/>
        <w:i w:val="false"/>
        <w:b/>
        <w:color w:val="00000A"/>
      </w:rPr>
    </w:lvl>
    <w:lvl w:ilvl="7">
      <w:start w:val="1"/>
      <w:numFmt w:val="decimal"/>
      <w:suff w:val="space"/>
      <w:lvlText w:val="%8)"/>
      <w:lvlJc w:val="left"/>
      <w:pPr>
        <w:ind w:left="0" w:hanging="-851"/>
      </w:pPr>
      <w:rPr>
        <w:sz w:val="28"/>
        <w:i w:val="false"/>
        <w:b w:val="false"/>
        <w:color w:val="00000A"/>
      </w:rPr>
    </w:lvl>
    <w:lvl w:ilvl="8">
      <w:start w:val="1"/>
      <w:numFmt w:val="decimal"/>
      <w:lvlText w:val="%9)"/>
      <w:lvlJc w:val="left"/>
      <w:pPr>
        <w:ind w:left="0" w:hanging="-1134"/>
      </w:pPr>
      <w:rPr>
        <w:sz w:val="28"/>
        <w:i w:val="false"/>
        <w:b w:val="false"/>
        <w:color w:val="00000A"/>
      </w:rPr>
    </w:lvl>
  </w:abstractNum>
  <w:abstractNum w:abstractNumId="6">
    <w:lvl w:ilvl="0">
      <w:start w:val="1"/>
      <w:numFmt w:val="decimal"/>
      <w:lvlText w:val="%1"/>
      <w:lvlJc w:val="left"/>
      <w:pPr>
        <w:ind w:left="0" w:hanging="-851"/>
      </w:pPr>
      <w:rPr>
        <w:sz w:val="28"/>
        <w:i w:val="false"/>
        <w:b/>
        <w:color w:val="00000A"/>
      </w:rPr>
    </w:lvl>
    <w:lvl w:ilvl="1">
      <w:start w:val="1"/>
      <w:numFmt w:val="decimal"/>
      <w:lvlText w:val="%1.%2"/>
      <w:lvlJc w:val="left"/>
      <w:pPr>
        <w:ind w:left="0" w:hanging="-851"/>
      </w:pPr>
      <w:rPr>
        <w:sz w:val="28"/>
        <w:i w:val="false"/>
        <w:b/>
        <w:color w:val="00000A"/>
      </w:rPr>
    </w:lvl>
    <w:lvl w:ilvl="2">
      <w:start w:val="1"/>
      <w:numFmt w:val="decimal"/>
      <w:lvlText w:val="%1.%2.%3"/>
      <w:lvlJc w:val="left"/>
      <w:pPr>
        <w:ind w:left="4962" w:hanging="-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iCs w:val="false"/>
        <w:bCs w:val="false"/>
        <w:em w:val="none"/>
        <w:vanish w:val="false"/>
        <w:rFonts w:cs="Times New Roman"/>
        <w:color w:val="00000A"/>
      </w:rPr>
    </w:lvl>
    <w:lvl w:ilvl="3">
      <w:start w:val="1"/>
      <w:numFmt w:val="decimal"/>
      <w:lvlText w:val="%1.%2.%3.%4"/>
      <w:lvlJc w:val="left"/>
      <w:pPr>
        <w:ind w:left="-141" w:hanging="-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iCs w:val="false"/>
        <w:bCs w:val="false"/>
        <w:em w:val="none"/>
        <w:vanish w:val="false"/>
        <w:rFonts w:cs="Times New Roman"/>
        <w:color w:val="00000A"/>
      </w:rPr>
    </w:lvl>
    <w:lvl w:ilvl="4">
      <w:start w:val="1"/>
      <w:numFmt w:val="decimal"/>
      <w:lvlText w:val="%1.%2.%3.%4.%5"/>
      <w:lvlJc w:val="left"/>
      <w:pPr>
        <w:ind w:left="0" w:hanging="-851"/>
      </w:pPr>
      <w:rPr>
        <w:sz w:val="28"/>
        <w:i w:val="false"/>
        <w:b/>
        <w:color w:val="00000A"/>
      </w:rPr>
    </w:lvl>
    <w:lvl w:ilvl="5">
      <w:start w:val="1"/>
      <w:numFmt w:val="decimal"/>
      <w:lvlText w:val="%1.%2.%3.%4.%5.%6"/>
      <w:lvlJc w:val="left"/>
      <w:pPr>
        <w:ind w:left="0" w:hanging="-851"/>
      </w:pPr>
      <w:rPr>
        <w:sz w:val="28"/>
        <w:i w:val="false"/>
        <w:b/>
        <w:color w:val="00000A"/>
      </w:rPr>
    </w:lvl>
    <w:lvl w:ilvl="6">
      <w:start w:val="1"/>
      <w:numFmt w:val="decimal"/>
      <w:lvlText w:val="%1.%2.%3.%4.%5.%6.%7"/>
      <w:lvlJc w:val="left"/>
      <w:pPr>
        <w:ind w:left="0" w:hanging="-851"/>
      </w:pPr>
      <w:rPr>
        <w:sz w:val="28"/>
        <w:i w:val="false"/>
        <w:b/>
        <w:color w:val="00000A"/>
      </w:rPr>
    </w:lvl>
    <w:lvl w:ilvl="7">
      <w:start w:val="1"/>
      <w:numFmt w:val="decimal"/>
      <w:lvlText w:val="%8)"/>
      <w:lvlJc w:val="left"/>
      <w:pPr>
        <w:ind w:left="0" w:hanging="-851"/>
      </w:pPr>
      <w:rPr>
        <w:sz w:val="28"/>
        <w:i w:val="false"/>
        <w:b w:val="false"/>
        <w:color w:val="00000A"/>
      </w:rPr>
    </w:lvl>
    <w:lvl w:ilvl="8">
      <w:start w:val="1"/>
      <w:numFmt w:val="decimal"/>
      <w:lvlText w:val="%9)"/>
      <w:lvlJc w:val="left"/>
      <w:pPr>
        <w:ind w:left="0" w:hanging="-1134"/>
      </w:pPr>
      <w:rPr>
        <w:sz w:val="28"/>
        <w:i w:val="false"/>
        <w:b w:val="false"/>
        <w:color w:val="00000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link w:val="13"/>
    <w:uiPriority w:val="9"/>
    <w:qFormat/>
    <w:rsid w:val="00cf5231"/>
    <w:pPr>
      <w:keepNext/>
      <w:keepLines/>
      <w:numPr>
        <w:ilvl w:val="0"/>
        <w:numId w:val="1"/>
      </w:numPr>
      <w:spacing w:before="480" w:after="0"/>
      <w:outlineLvl w:val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link w:val="21"/>
    <w:uiPriority w:val="9"/>
    <w:unhideWhenUsed/>
    <w:qFormat/>
    <w:rsid w:val="00cf5231"/>
    <w:pPr>
      <w:keepNext/>
      <w:keepLines/>
      <w:numPr>
        <w:ilvl w:val="1"/>
        <w:numId w:val="1"/>
      </w:numPr>
      <w:spacing w:before="200" w:after="0"/>
      <w:outlineLvl w:val="1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link w:val="30"/>
    <w:uiPriority w:val="9"/>
    <w:qFormat/>
    <w:rsid w:val="00cf5231"/>
    <w:pPr>
      <w:numPr>
        <w:ilvl w:val="2"/>
        <w:numId w:val="1"/>
      </w:numPr>
      <w:spacing w:lineRule="auto" w:line="240" w:beforeAutospacing="1" w:afterAutospacing="1"/>
      <w:outlineLvl w:val="2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Normal"/>
    <w:link w:val="40"/>
    <w:uiPriority w:val="9"/>
    <w:semiHidden/>
    <w:unhideWhenUsed/>
    <w:qFormat/>
    <w:rsid w:val="00cf5231"/>
    <w:pPr>
      <w:keepNext/>
      <w:keepLines/>
      <w:numPr>
        <w:ilvl w:val="3"/>
        <w:numId w:val="1"/>
      </w:numPr>
      <w:spacing w:before="200" w:after="0"/>
      <w:outlineLvl w:val="3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link w:val="50"/>
    <w:uiPriority w:val="9"/>
    <w:semiHidden/>
    <w:unhideWhenUsed/>
    <w:qFormat/>
    <w:rsid w:val="00cf5231"/>
    <w:pPr>
      <w:keepNext/>
      <w:keepLines/>
      <w:numPr>
        <w:ilvl w:val="4"/>
        <w:numId w:val="1"/>
      </w:numPr>
      <w:spacing w:before="200" w:after="0"/>
      <w:outlineLvl w:val="4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link w:val="60"/>
    <w:uiPriority w:val="9"/>
    <w:semiHidden/>
    <w:unhideWhenUsed/>
    <w:qFormat/>
    <w:rsid w:val="00cf5231"/>
    <w:pPr>
      <w:keepNext/>
      <w:keepLines/>
      <w:numPr>
        <w:ilvl w:val="5"/>
        <w:numId w:val="1"/>
      </w:numPr>
      <w:spacing w:before="200" w:after="0"/>
      <w:outlineLvl w:val="5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link w:val="70"/>
    <w:uiPriority w:val="9"/>
    <w:semiHidden/>
    <w:unhideWhenUsed/>
    <w:qFormat/>
    <w:rsid w:val="00cf5231"/>
    <w:pPr>
      <w:keepNext/>
      <w:keepLines/>
      <w:numPr>
        <w:ilvl w:val="6"/>
        <w:numId w:val="1"/>
      </w:numPr>
      <w:spacing w:before="200" w:after="0"/>
      <w:outlineLvl w:val="6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link w:val="80"/>
    <w:uiPriority w:val="9"/>
    <w:semiHidden/>
    <w:unhideWhenUsed/>
    <w:qFormat/>
    <w:rsid w:val="00cf5231"/>
    <w:pPr>
      <w:keepNext/>
      <w:keepLines/>
      <w:numPr>
        <w:ilvl w:val="7"/>
        <w:numId w:val="1"/>
      </w:numPr>
      <w:spacing w:before="200" w:after="0"/>
      <w:outlineLvl w:val="7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9">
    <w:name w:val="Heading 9"/>
    <w:basedOn w:val="Normal"/>
    <w:link w:val="90"/>
    <w:uiPriority w:val="9"/>
    <w:semiHidden/>
    <w:unhideWhenUsed/>
    <w:qFormat/>
    <w:rsid w:val="00cf5231"/>
    <w:pPr>
      <w:keepNext/>
      <w:keepLines/>
      <w:numPr>
        <w:ilvl w:val="8"/>
        <w:numId w:val="1"/>
      </w:numPr>
      <w:spacing w:before="200" w:after="0"/>
      <w:outlineLvl w:val="8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cf523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cf5231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cf5231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cf5231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cf5231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cf5231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cf5231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cf5231"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cf5231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yle5" w:customStyle="1">
    <w:name w:val="Текст выноски Знак"/>
    <w:basedOn w:val="DefaultParagraphFont"/>
    <w:link w:val="a6"/>
    <w:uiPriority w:val="99"/>
    <w:semiHidden/>
    <w:qFormat/>
    <w:rsid w:val="00e63021"/>
    <w:rPr>
      <w:rFonts w:ascii="Tahoma" w:hAnsi="Tahoma" w:cs="Tahoma"/>
      <w:sz w:val="16"/>
      <w:szCs w:val="16"/>
    </w:rPr>
  </w:style>
  <w:style w:type="character" w:styleId="Style6">
    <w:name w:val="Интернет-ссылка"/>
    <w:uiPriority w:val="99"/>
    <w:rsid w:val="00185ea2"/>
    <w:rPr>
      <w:color w:val="0000FF"/>
      <w:u w:val="single"/>
    </w:rPr>
  </w:style>
  <w:style w:type="character" w:styleId="Style7" w:customStyle="1">
    <w:name w:val="а-б-в Знак"/>
    <w:link w:val="--"/>
    <w:qFormat/>
    <w:rsid w:val="009928bf"/>
    <w:rPr>
      <w:rFonts w:ascii="Times New Roman" w:hAnsi="Times New Roman" w:eastAsia="Times New Roman" w:cs="Times New Roman"/>
      <w:sz w:val="24"/>
      <w:szCs w:val="28"/>
      <w:lang w:eastAsia="ru-RU"/>
    </w:rPr>
  </w:style>
  <w:style w:type="character" w:styleId="Style8" w:customStyle="1">
    <w:name w:val="--- Знак"/>
    <w:link w:val="---"/>
    <w:qFormat/>
    <w:rsid w:val="009928bf"/>
    <w:rPr>
      <w:rFonts w:ascii="Times New Roman" w:hAnsi="Times New Roman" w:eastAsia="SimSun" w:cs="Mangal"/>
      <w:iCs/>
      <w:sz w:val="24"/>
      <w:szCs w:val="24"/>
      <w:lang w:eastAsia="zh-CN" w:bidi="hi-IN"/>
    </w:rPr>
  </w:style>
  <w:style w:type="character" w:styleId="Style9" w:customStyle="1">
    <w:name w:val="Верхний колонтитул Знак"/>
    <w:basedOn w:val="DefaultParagraphFont"/>
    <w:link w:val="ac"/>
    <w:uiPriority w:val="99"/>
    <w:qFormat/>
    <w:rsid w:val="00f61429"/>
    <w:rPr/>
  </w:style>
  <w:style w:type="character" w:styleId="Style10" w:customStyle="1">
    <w:name w:val="Нижний колонтитул Знак"/>
    <w:basedOn w:val="DefaultParagraphFont"/>
    <w:link w:val="ae"/>
    <w:uiPriority w:val="99"/>
    <w:qFormat/>
    <w:rsid w:val="00f61429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c368b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f1"/>
    <w:uiPriority w:val="99"/>
    <w:semiHidden/>
    <w:qFormat/>
    <w:rsid w:val="002c368b"/>
    <w:rPr>
      <w:sz w:val="20"/>
      <w:szCs w:val="20"/>
    </w:rPr>
  </w:style>
  <w:style w:type="character" w:styleId="Style12" w:customStyle="1">
    <w:name w:val="Тема примечания Знак"/>
    <w:basedOn w:val="Style11"/>
    <w:link w:val="af3"/>
    <w:uiPriority w:val="99"/>
    <w:semiHidden/>
    <w:qFormat/>
    <w:rsid w:val="002c368b"/>
    <w:rPr>
      <w:b/>
      <w:bCs/>
      <w:sz w:val="20"/>
      <w:szCs w:val="20"/>
    </w:rPr>
  </w:style>
  <w:style w:type="character" w:styleId="Style13" w:customStyle="1">
    <w:name w:val="Список осн Знак"/>
    <w:basedOn w:val="DefaultParagraphFont"/>
    <w:link w:val="af6"/>
    <w:qFormat/>
    <w:locked/>
    <w:rsid w:val="00cf544f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Основной текст с отступом Знак"/>
    <w:basedOn w:val="DefaultParagraphFont"/>
    <w:link w:val="af5"/>
    <w:uiPriority w:val="99"/>
    <w:semiHidden/>
    <w:qFormat/>
    <w:rsid w:val="00cf544f"/>
    <w:rPr/>
  </w:style>
  <w:style w:type="character" w:styleId="Usual" w:customStyle="1">
    <w:name w:val="_usual Знак"/>
    <w:link w:val="usual"/>
    <w:qFormat/>
    <w:rsid w:val="004e0bdd"/>
    <w:rPr>
      <w:rFonts w:ascii="Times New Roman" w:hAnsi="Times New Roman" w:eastAsia="Times New Roman" w:cs="Times New Roman"/>
      <w:sz w:val="28"/>
      <w:szCs w:val="28"/>
      <w:lang w:eastAsia="zh-CN" w:bidi="hi-IN"/>
    </w:rPr>
  </w:style>
  <w:style w:type="character" w:styleId="Style15" w:customStyle="1">
    <w:name w:val="_уровень дефиз Знак"/>
    <w:link w:val="a"/>
    <w:qFormat/>
    <w:rsid w:val="00fd07fd"/>
    <w:rPr>
      <w:rFonts w:ascii="Times New Roman" w:hAnsi="Times New Roman" w:eastAsia="Arial Unicode MS" w:cs="Times New Roman"/>
      <w:sz w:val="28"/>
      <w:szCs w:val="28"/>
      <w:lang w:eastAsia="zh-CN" w:bidi="hi-IN"/>
    </w:rPr>
  </w:style>
  <w:style w:type="character" w:styleId="Style16" w:customStyle="1">
    <w:name w:val="_уровень нумер Знак"/>
    <w:link w:val="afc"/>
    <w:qFormat/>
    <w:rsid w:val="00fd07f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Head1" w:customStyle="1">
    <w:name w:val="Head1_БЕЗ_ТОЧКИ Знак"/>
    <w:link w:val="Head1"/>
    <w:qFormat/>
    <w:rsid w:val="00fd07fd"/>
    <w:rPr>
      <w:rFonts w:ascii="Times New Roman" w:hAnsi="Times New Roman" w:eastAsia="Times New Roman" w:cs="Times New Roman"/>
      <w:b/>
      <w:bCs/>
      <w:sz w:val="28"/>
      <w:szCs w:val="32"/>
      <w:lang w:eastAsia="ru-RU"/>
    </w:rPr>
  </w:style>
  <w:style w:type="character" w:styleId="Head3" w:customStyle="1">
    <w:name w:val="Head3_БЕЗ_ТОЧКИ Знак"/>
    <w:link w:val="Head3"/>
    <w:qFormat/>
    <w:rsid w:val="00fd07fd"/>
    <w:rPr>
      <w:rFonts w:ascii="Times New Roman" w:hAnsi="Times New Roman" w:eastAsia="Times New Roman" w:cs="Times New Roman"/>
      <w:b/>
      <w:bCs/>
      <w:sz w:val="28"/>
      <w:szCs w:val="26"/>
      <w:lang w:eastAsia="ru-RU"/>
    </w:rPr>
  </w:style>
  <w:style w:type="character" w:styleId="Head4" w:customStyle="1">
    <w:name w:val="Head4_БЕЗ_ТОЧКИ Знак"/>
    <w:link w:val="Head4"/>
    <w:qFormat/>
    <w:rsid w:val="002e3c78"/>
    <w:rPr>
      <w:rFonts w:ascii="Times New Roman" w:hAnsi="Times New Roman" w:eastAsia="Arial Unicode MS" w:cs="Times New Roman"/>
      <w:b/>
      <w:color w:val="000000" w:themeColor="text1"/>
      <w:sz w:val="28"/>
      <w:szCs w:val="20"/>
      <w:lang w:eastAsia="ru-RU"/>
    </w:rPr>
  </w:style>
  <w:style w:type="character" w:styleId="Head5" w:customStyle="1">
    <w:name w:val="Head5_БЕЗ_ТОЧКИ Знак"/>
    <w:link w:val="Head5"/>
    <w:qFormat/>
    <w:rsid w:val="00fd07fd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Head6" w:customStyle="1">
    <w:name w:val="Head6_БЕЗ_ТОЧКИ Знак"/>
    <w:basedOn w:val="DefaultParagraphFont"/>
    <w:link w:val="Head6"/>
    <w:qFormat/>
    <w:rsid w:val="00fd07fd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Style17" w:customStyle="1">
    <w:name w:val="Название Рисунка Знак"/>
    <w:link w:val="aff"/>
    <w:qFormat/>
    <w:rsid w:val="00a36501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8" w:customStyle="1">
    <w:name w:val="Название_таблицы Знак"/>
    <w:basedOn w:val="DefaultParagraphFont"/>
    <w:link w:val="aff1"/>
    <w:uiPriority w:val="1"/>
    <w:qFormat/>
    <w:rsid w:val="00a36501"/>
    <w:rPr>
      <w:rFonts w:ascii="Times New Roman" w:hAnsi="Times New Roman" w:eastAsia="Times New Roman" w:cs="Times New Roman"/>
      <w:sz w:val="28"/>
      <w:szCs w:val="28"/>
      <w:lang w:val="en-US" w:eastAsia="zh-CN"/>
    </w:rPr>
  </w:style>
  <w:style w:type="character" w:styleId="Osn" w:customStyle="1">
    <w:name w:val="Osn Знак"/>
    <w:link w:val="Osn"/>
    <w:qFormat/>
    <w:rsid w:val="0084648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tenseReference">
    <w:name w:val="Intense Reference"/>
    <w:basedOn w:val="DefaultParagraphFont"/>
    <w:uiPriority w:val="32"/>
    <w:qFormat/>
    <w:rsid w:val="0084648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46482"/>
    <w:rPr>
      <w:b/>
      <w:bCs/>
      <w:smallCaps/>
      <w:spacing w:val="5"/>
    </w:rPr>
  </w:style>
  <w:style w:type="character" w:styleId="Style19" w:customStyle="1">
    <w:name w:val="ТЗ Знак"/>
    <w:link w:val="aff6"/>
    <w:qFormat/>
    <w:rsid w:val="009878c2"/>
    <w:rPr>
      <w:rFonts w:ascii="Times New Roman" w:hAnsi="Times New Roman" w:eastAsia="SimSun" w:cs="Times New Roman"/>
      <w:sz w:val="24"/>
      <w:szCs w:val="24"/>
      <w:lang w:eastAsia="ru-RU"/>
    </w:rPr>
  </w:style>
  <w:style w:type="character" w:styleId="Normaltextrun" w:customStyle="1">
    <w:name w:val="normaltextrun"/>
    <w:basedOn w:val="DefaultParagraphFont"/>
    <w:qFormat/>
    <w:rsid w:val="004d1fb8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400827"/>
    <w:rPr>
      <w:color w:val="808080"/>
      <w:shd w:fill="E6E6E6" w:val="clear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b w:val="false"/>
      <w:i w:val="false"/>
      <w:sz w:val="24"/>
      <w:szCs w:val="24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color w:val="000000"/>
    </w:rPr>
  </w:style>
  <w:style w:type="character" w:styleId="ListLabel21">
    <w:name w:val="ListLabel 21"/>
    <w:qFormat/>
    <w:rPr>
      <w:rFonts w:cs="Times New Roman"/>
      <w:color w:val="000000"/>
    </w:rPr>
  </w:style>
  <w:style w:type="character" w:styleId="ListLabel22">
    <w:name w:val="ListLabel 2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b/>
      <w:i w:val="false"/>
      <w:color w:val="00000A"/>
      <w:sz w:val="28"/>
    </w:rPr>
  </w:style>
  <w:style w:type="character" w:styleId="ListLabel26">
    <w:name w:val="ListLabel 26"/>
    <w:qFormat/>
    <w:rPr>
      <w:b/>
      <w:i w:val="false"/>
      <w:color w:val="00000A"/>
      <w:sz w:val="28"/>
    </w:rPr>
  </w:style>
  <w:style w:type="character" w:styleId="ListLabel27">
    <w:name w:val="ListLabel 27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position w:val="0"/>
      <w:sz w:val="28"/>
      <w:sz w:val="28"/>
      <w:u w:val="none"/>
      <w:vertAlign w:val="baseline"/>
      <w:em w:val="none"/>
    </w:rPr>
  </w:style>
  <w:style w:type="character" w:styleId="ListLabel28">
    <w:name w:val="ListLabel 28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position w:val="0"/>
      <w:sz w:val="28"/>
      <w:sz w:val="28"/>
      <w:u w:val="none"/>
      <w:vertAlign w:val="baseline"/>
      <w:em w:val="none"/>
    </w:rPr>
  </w:style>
  <w:style w:type="character" w:styleId="ListLabel29">
    <w:name w:val="ListLabel 29"/>
    <w:qFormat/>
    <w:rPr>
      <w:b/>
      <w:i w:val="false"/>
      <w:color w:val="00000A"/>
      <w:sz w:val="28"/>
    </w:rPr>
  </w:style>
  <w:style w:type="character" w:styleId="ListLabel30">
    <w:name w:val="ListLabel 30"/>
    <w:qFormat/>
    <w:rPr>
      <w:b/>
      <w:i w:val="false"/>
      <w:color w:val="00000A"/>
      <w:sz w:val="28"/>
    </w:rPr>
  </w:style>
  <w:style w:type="character" w:styleId="ListLabel31">
    <w:name w:val="ListLabel 31"/>
    <w:qFormat/>
    <w:rPr>
      <w:b/>
      <w:i w:val="false"/>
      <w:color w:val="00000A"/>
      <w:sz w:val="28"/>
    </w:rPr>
  </w:style>
  <w:style w:type="character" w:styleId="ListLabel32">
    <w:name w:val="ListLabel 32"/>
    <w:qFormat/>
    <w:rPr>
      <w:b w:val="false"/>
      <w:i w:val="false"/>
      <w:color w:val="00000A"/>
      <w:sz w:val="28"/>
    </w:rPr>
  </w:style>
  <w:style w:type="character" w:styleId="ListLabel33">
    <w:name w:val="ListLabel 33"/>
    <w:qFormat/>
    <w:rPr>
      <w:b w:val="false"/>
      <w:i w:val="false"/>
      <w:color w:val="00000A"/>
      <w:sz w:val="28"/>
    </w:rPr>
  </w:style>
  <w:style w:type="character" w:styleId="ListLabel34">
    <w:name w:val="ListLabel 34"/>
    <w:qFormat/>
    <w:rPr>
      <w:b/>
      <w:i w:val="false"/>
      <w:color w:val="00000A"/>
      <w:sz w:val="28"/>
    </w:rPr>
  </w:style>
  <w:style w:type="character" w:styleId="ListLabel35">
    <w:name w:val="ListLabel 35"/>
    <w:qFormat/>
    <w:rPr>
      <w:b/>
      <w:i w:val="false"/>
      <w:color w:val="00000A"/>
      <w:sz w:val="28"/>
    </w:rPr>
  </w:style>
  <w:style w:type="character" w:styleId="ListLabel36">
    <w:name w:val="ListLabel 3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position w:val="0"/>
      <w:sz w:val="28"/>
      <w:sz w:val="28"/>
      <w:u w:val="none"/>
      <w:vertAlign w:val="baseline"/>
      <w:em w:val="none"/>
    </w:rPr>
  </w:style>
  <w:style w:type="character" w:styleId="ListLabel37">
    <w:name w:val="ListLabel 37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position w:val="0"/>
      <w:sz w:val="28"/>
      <w:sz w:val="28"/>
      <w:u w:val="none"/>
      <w:vertAlign w:val="baseline"/>
      <w:em w:val="none"/>
    </w:rPr>
  </w:style>
  <w:style w:type="character" w:styleId="ListLabel38">
    <w:name w:val="ListLabel 38"/>
    <w:qFormat/>
    <w:rPr>
      <w:b/>
      <w:i w:val="false"/>
      <w:color w:val="00000A"/>
      <w:sz w:val="28"/>
    </w:rPr>
  </w:style>
  <w:style w:type="character" w:styleId="ListLabel39">
    <w:name w:val="ListLabel 39"/>
    <w:qFormat/>
    <w:rPr>
      <w:b/>
      <w:i w:val="false"/>
      <w:color w:val="00000A"/>
      <w:sz w:val="28"/>
    </w:rPr>
  </w:style>
  <w:style w:type="character" w:styleId="ListLabel40">
    <w:name w:val="ListLabel 40"/>
    <w:qFormat/>
    <w:rPr>
      <w:b/>
      <w:i w:val="false"/>
      <w:color w:val="00000A"/>
      <w:sz w:val="28"/>
    </w:rPr>
  </w:style>
  <w:style w:type="character" w:styleId="ListLabel41">
    <w:name w:val="ListLabel 41"/>
    <w:qFormat/>
    <w:rPr>
      <w:b w:val="false"/>
      <w:i w:val="false"/>
      <w:color w:val="00000A"/>
      <w:sz w:val="28"/>
    </w:rPr>
  </w:style>
  <w:style w:type="character" w:styleId="ListLabel42">
    <w:name w:val="ListLabel 42"/>
    <w:qFormat/>
    <w:rPr>
      <w:b w:val="false"/>
      <w:i w:val="false"/>
      <w:color w:val="00000A"/>
      <w:sz w:val="28"/>
    </w:rPr>
  </w:style>
  <w:style w:type="character" w:styleId="ListLabel43">
    <w:name w:val="ListLabel 43"/>
    <w:qFormat/>
    <w:rPr>
      <w:b/>
      <w:i w:val="false"/>
      <w:color w:val="00000A"/>
      <w:sz w:val="28"/>
    </w:rPr>
  </w:style>
  <w:style w:type="character" w:styleId="ListLabel44">
    <w:name w:val="ListLabel 44"/>
    <w:qFormat/>
    <w:rPr>
      <w:b/>
      <w:i w:val="false"/>
      <w:color w:val="00000A"/>
      <w:sz w:val="28"/>
    </w:rPr>
  </w:style>
  <w:style w:type="character" w:styleId="ListLabel45">
    <w:name w:val="ListLabel 4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position w:val="0"/>
      <w:sz w:val="28"/>
      <w:sz w:val="28"/>
      <w:u w:val="none"/>
      <w:vertAlign w:val="baseline"/>
      <w:em w:val="none"/>
    </w:rPr>
  </w:style>
  <w:style w:type="character" w:styleId="ListLabel46">
    <w:name w:val="ListLabel 4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position w:val="0"/>
      <w:sz w:val="28"/>
      <w:sz w:val="28"/>
      <w:u w:val="none"/>
      <w:vertAlign w:val="baseline"/>
      <w:em w:val="none"/>
    </w:rPr>
  </w:style>
  <w:style w:type="character" w:styleId="ListLabel47">
    <w:name w:val="ListLabel 47"/>
    <w:qFormat/>
    <w:rPr>
      <w:b/>
      <w:i w:val="false"/>
      <w:color w:val="00000A"/>
      <w:sz w:val="28"/>
    </w:rPr>
  </w:style>
  <w:style w:type="character" w:styleId="ListLabel48">
    <w:name w:val="ListLabel 48"/>
    <w:qFormat/>
    <w:rPr>
      <w:b/>
      <w:i w:val="false"/>
      <w:color w:val="00000A"/>
      <w:sz w:val="28"/>
    </w:rPr>
  </w:style>
  <w:style w:type="character" w:styleId="ListLabel49">
    <w:name w:val="ListLabel 49"/>
    <w:qFormat/>
    <w:rPr>
      <w:b/>
      <w:i w:val="false"/>
      <w:color w:val="00000A"/>
      <w:sz w:val="28"/>
    </w:rPr>
  </w:style>
  <w:style w:type="character" w:styleId="ListLabel50">
    <w:name w:val="ListLabel 50"/>
    <w:qFormat/>
    <w:rPr>
      <w:b w:val="false"/>
      <w:i w:val="false"/>
      <w:color w:val="00000A"/>
      <w:sz w:val="28"/>
    </w:rPr>
  </w:style>
  <w:style w:type="character" w:styleId="ListLabel51">
    <w:name w:val="ListLabel 51"/>
    <w:qFormat/>
    <w:rPr>
      <w:b w:val="false"/>
      <w:i w:val="false"/>
      <w:color w:val="00000A"/>
      <w:sz w:val="28"/>
    </w:rPr>
  </w:style>
  <w:style w:type="character" w:styleId="Style20">
    <w:name w:val="Ссылка указателя"/>
    <w:qFormat/>
    <w:rPr/>
  </w:style>
  <w:style w:type="character" w:styleId="Style21">
    <w:name w:val="Посещённая гиперссылка"/>
    <w:rPr>
      <w:color w:val="800000"/>
      <w:u w:val="single"/>
      <w:lang w:val="zxx" w:eastAsia="zxx" w:bidi="zxx"/>
    </w:rPr>
  </w:style>
  <w:style w:type="paragraph" w:styleId="Style22">
    <w:name w:val="Заголовок"/>
    <w:basedOn w:val="Normal"/>
    <w:next w:val="Style23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3">
    <w:name w:val="Body Text"/>
    <w:basedOn w:val="Normal"/>
    <w:pPr>
      <w:spacing w:lineRule="auto" w:line="288" w:before="0" w:after="140"/>
    </w:pPr>
    <w:rPr/>
  </w:style>
  <w:style w:type="paragraph" w:styleId="Style24">
    <w:name w:val="List"/>
    <w:basedOn w:val="Normal"/>
    <w:uiPriority w:val="99"/>
    <w:semiHidden/>
    <w:unhideWhenUsed/>
    <w:rsid w:val="00185ea2"/>
    <w:pPr>
      <w:spacing w:before="0" w:after="200"/>
      <w:ind w:left="283" w:hanging="283"/>
      <w:contextualSpacing/>
    </w:pPr>
    <w:rPr/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semiHidden/>
    <w:unhideWhenUsed/>
    <w:qFormat/>
    <w:rsid w:val="00cf523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qFormat/>
    <w:rsid w:val="00ae0dbf"/>
    <w:pPr>
      <w:widowControl w:val="false"/>
      <w:spacing w:lineRule="auto" w:line="240" w:beforeAutospacing="1" w:afterAutospacing="1"/>
      <w:contextualSpacing/>
      <w:jc w:val="both"/>
    </w:pPr>
    <w:rPr>
      <w:rFonts w:ascii="Times New Roman" w:hAnsi="Times New Roman" w:eastAsia="Times New Roman" w:cs="Arial"/>
      <w:sz w:val="24"/>
      <w:szCs w:val="20"/>
      <w:lang w:val="en-US"/>
    </w:rPr>
  </w:style>
  <w:style w:type="paragraph" w:styleId="Style27" w:customStyle="1">
    <w:name w:val="---"/>
    <w:basedOn w:val="Normal"/>
    <w:link w:val="---0"/>
    <w:qFormat/>
    <w:rsid w:val="005a3f2f"/>
    <w:pPr>
      <w:widowControl w:val="false"/>
      <w:suppressAutoHyphens w:val="true"/>
      <w:spacing w:lineRule="auto" w:line="288" w:before="0" w:after="0"/>
      <w:jc w:val="both"/>
    </w:pPr>
    <w:rPr>
      <w:rFonts w:ascii="Times New Roman" w:hAnsi="Times New Roman" w:eastAsia="SimSun" w:cs="Mangal"/>
      <w:iCs/>
      <w:sz w:val="24"/>
      <w:szCs w:val="24"/>
      <w:lang w:eastAsia="zh-CN" w:bidi="hi-IN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e6302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unhideWhenUsed/>
    <w:qFormat/>
    <w:rsid w:val="00e63021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ListBullet">
    <w:name w:val="List Bullet"/>
    <w:basedOn w:val="Style24"/>
    <w:uiPriority w:val="99"/>
    <w:qFormat/>
    <w:rsid w:val="00185ea2"/>
    <w:pPr>
      <w:widowControl w:val="false"/>
      <w:spacing w:lineRule="auto" w:line="240" w:beforeAutospacing="1" w:afterAutospacing="1"/>
      <w:ind w:left="432" w:hanging="432"/>
      <w:jc w:val="both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AllowPageBreak" w:customStyle="1">
    <w:name w:val="AllowPageBreak"/>
    <w:qFormat/>
    <w:rsid w:val="00a64288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"/>
      <w:szCs w:val="20"/>
      <w:lang w:val="en-US" w:eastAsia="en-US" w:bidi="ar-SA"/>
    </w:rPr>
  </w:style>
  <w:style w:type="paragraph" w:styleId="Style28" w:customStyle="1">
    <w:name w:val="а-б-в"/>
    <w:link w:val="--0"/>
    <w:qFormat/>
    <w:rsid w:val="009928bf"/>
    <w:pPr>
      <w:widowControl/>
      <w:tabs>
        <w:tab w:val="left" w:pos="426" w:leader="none"/>
        <w:tab w:val="left" w:pos="1134" w:leader="none"/>
      </w:tabs>
      <w:bidi w:val="0"/>
      <w:spacing w:lineRule="auto" w:line="312" w:before="60" w:after="80"/>
      <w:contextualSpacing/>
      <w:jc w:val="left"/>
    </w:pPr>
    <w:rPr>
      <w:rFonts w:ascii="Times New Roman" w:hAnsi="Times New Roman" w:eastAsia="Times New Roman" w:cs="Times New Roman"/>
      <w:color w:val="auto"/>
      <w:sz w:val="24"/>
      <w:szCs w:val="28"/>
      <w:lang w:eastAsia="ru-RU" w:val="ru-RU" w:bidi="ar-SA"/>
    </w:rPr>
  </w:style>
  <w:style w:type="paragraph" w:styleId="12">
    <w:name w:val="TOC 1"/>
    <w:basedOn w:val="Normal"/>
    <w:autoRedefine/>
    <w:uiPriority w:val="39"/>
    <w:qFormat/>
    <w:rsid w:val="001650d6"/>
    <w:pPr>
      <w:tabs>
        <w:tab w:val="left" w:pos="442" w:leader="none"/>
        <w:tab w:val="right" w:pos="10206" w:leader="dot"/>
      </w:tabs>
      <w:spacing w:lineRule="auto" w:line="360" w:before="0" w:after="0"/>
    </w:pPr>
    <w:rPr>
      <w:rFonts w:ascii="Times New Roman Полужирный" w:hAnsi="Times New Roman Полужирный" w:eastAsia="Times New Roman" w:cs="Calibri"/>
      <w:b/>
      <w:bCs/>
      <w:sz w:val="28"/>
      <w:szCs w:val="20"/>
      <w:lang w:eastAsia="ru-RU"/>
    </w:rPr>
  </w:style>
  <w:style w:type="paragraph" w:styleId="22">
    <w:name w:val="TOC 2"/>
    <w:basedOn w:val="Normal"/>
    <w:autoRedefine/>
    <w:uiPriority w:val="39"/>
    <w:qFormat/>
    <w:rsid w:val="00fd07fd"/>
    <w:pPr>
      <w:spacing w:lineRule="auto" w:line="360" w:before="0" w:after="0"/>
      <w:ind w:left="221" w:hanging="0"/>
    </w:pPr>
    <w:rPr>
      <w:rFonts w:ascii="Times New Roman" w:hAnsi="Times New Roman" w:eastAsia="Times New Roman" w:cs="Calibri"/>
      <w:sz w:val="28"/>
      <w:szCs w:val="20"/>
      <w:lang w:eastAsia="ru-RU"/>
    </w:rPr>
  </w:style>
  <w:style w:type="paragraph" w:styleId="32">
    <w:name w:val="TOC 3"/>
    <w:basedOn w:val="Normal"/>
    <w:autoRedefine/>
    <w:uiPriority w:val="39"/>
    <w:qFormat/>
    <w:rsid w:val="00fd07fd"/>
    <w:pPr>
      <w:spacing w:lineRule="auto" w:line="360" w:before="0" w:after="0"/>
      <w:ind w:left="442" w:hanging="0"/>
      <w:jc w:val="both"/>
    </w:pPr>
    <w:rPr>
      <w:rFonts w:ascii="Times New Roman" w:hAnsi="Times New Roman" w:eastAsia="Times New Roman" w:cs="Calibri"/>
      <w:iCs/>
      <w:sz w:val="28"/>
      <w:szCs w:val="20"/>
      <w:lang w:eastAsia="ru-RU"/>
    </w:rPr>
  </w:style>
  <w:style w:type="paragraph" w:styleId="Style29">
    <w:name w:val="Header"/>
    <w:basedOn w:val="Normal"/>
    <w:link w:val="ad"/>
    <w:uiPriority w:val="99"/>
    <w:unhideWhenUsed/>
    <w:rsid w:val="00f61429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af"/>
    <w:uiPriority w:val="99"/>
    <w:unhideWhenUsed/>
    <w:rsid w:val="00f61429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af2"/>
    <w:uiPriority w:val="99"/>
    <w:semiHidden/>
    <w:unhideWhenUsed/>
    <w:qFormat/>
    <w:rsid w:val="002c368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f4"/>
    <w:uiPriority w:val="99"/>
    <w:semiHidden/>
    <w:unhideWhenUsed/>
    <w:qFormat/>
    <w:rsid w:val="002c368b"/>
    <w:pPr/>
    <w:rPr>
      <w:b/>
      <w:bCs/>
    </w:rPr>
  </w:style>
  <w:style w:type="paragraph" w:styleId="13" w:customStyle="1">
    <w:name w:val="маркированный список 1"/>
    <w:basedOn w:val="Style31"/>
    <w:qFormat/>
    <w:rsid w:val="00cf544f"/>
    <w:pPr>
      <w:tabs>
        <w:tab w:val="left" w:pos="1004" w:leader="none"/>
      </w:tabs>
      <w:spacing w:lineRule="auto" w:line="360" w:before="0" w:after="20"/>
      <w:ind w:left="283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1">
    <w:name w:val="Body Text Indent"/>
    <w:basedOn w:val="Normal"/>
    <w:link w:val="af8"/>
    <w:uiPriority w:val="99"/>
    <w:semiHidden/>
    <w:unhideWhenUsed/>
    <w:rsid w:val="00cf544f"/>
    <w:pPr>
      <w:spacing w:before="0" w:after="120"/>
      <w:ind w:left="283" w:hanging="0"/>
    </w:pPr>
    <w:rPr/>
  </w:style>
  <w:style w:type="paragraph" w:styleId="14" w:customStyle="1">
    <w:name w:val="ТП_список1"/>
    <w:basedOn w:val="Normal"/>
    <w:qFormat/>
    <w:rsid w:val="00cf544f"/>
    <w:pPr>
      <w:tabs>
        <w:tab w:val="left" w:pos="993" w:leader="none"/>
      </w:tabs>
      <w:spacing w:lineRule="auto" w:line="288" w:before="0" w:after="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2" w:customStyle="1">
    <w:name w:val="Список осн"/>
    <w:basedOn w:val="14"/>
    <w:link w:val="af7"/>
    <w:qFormat/>
    <w:rsid w:val="00cf544f"/>
    <w:pPr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796b8c"/>
    <w:pPr>
      <w:spacing w:before="0" w:after="200"/>
      <w:ind w:left="720" w:hanging="0"/>
      <w:contextualSpacing/>
    </w:pPr>
    <w:rPr/>
  </w:style>
  <w:style w:type="paragraph" w:styleId="Usual1" w:customStyle="1">
    <w:name w:val="_usual"/>
    <w:link w:val="usual0"/>
    <w:autoRedefine/>
    <w:qFormat/>
    <w:rsid w:val="004e0bdd"/>
    <w:pPr>
      <w:widowControl/>
      <w:bidi w:val="0"/>
      <w:spacing w:lineRule="auto" w:line="360" w:before="240" w:after="0"/>
      <w:ind w:firstLine="567"/>
      <w:jc w:val="both"/>
    </w:pPr>
    <w:rPr>
      <w:rFonts w:ascii="Times New Roman" w:hAnsi="Times New Roman" w:eastAsia="Times New Roman" w:cs="Times New Roman"/>
      <w:color w:val="auto"/>
      <w:sz w:val="28"/>
      <w:szCs w:val="28"/>
      <w:lang w:eastAsia="zh-CN" w:bidi="hi-IN" w:val="ru-RU"/>
    </w:rPr>
  </w:style>
  <w:style w:type="paragraph" w:styleId="Style33" w:customStyle="1">
    <w:name w:val="_Аннотация"/>
    <w:qFormat/>
    <w:rsid w:val="00fd07fd"/>
    <w:pPr>
      <w:pageBreakBefore/>
      <w:widowControl w:val="false"/>
      <w:suppressAutoHyphens w:val="true"/>
      <w:bidi w:val="0"/>
      <w:spacing w:lineRule="auto" w:line="360" w:before="0" w:after="0"/>
      <w:jc w:val="center"/>
      <w:textAlignment w:val="baseline"/>
    </w:pPr>
    <w:rPr>
      <w:rFonts w:ascii="Times New Roman" w:hAnsi="Times New Roman" w:eastAsia="Arial Unicode MS" w:cs="Tahoma"/>
      <w:b/>
      <w:color w:val="auto"/>
      <w:sz w:val="28"/>
      <w:szCs w:val="28"/>
      <w:lang w:eastAsia="zh-CN" w:bidi="hi-IN" w:val="ru-RU"/>
    </w:rPr>
  </w:style>
  <w:style w:type="paragraph" w:styleId="Style34" w:customStyle="1">
    <w:name w:val="_уровень дефиз"/>
    <w:basedOn w:val="Normal"/>
    <w:link w:val="afb"/>
    <w:qFormat/>
    <w:rsid w:val="00fd07fd"/>
    <w:pPr>
      <w:spacing w:lineRule="auto" w:line="360" w:before="0" w:after="0"/>
      <w:jc w:val="both"/>
    </w:pPr>
    <w:rPr>
      <w:rFonts w:ascii="Times New Roman" w:hAnsi="Times New Roman" w:eastAsia="Arial Unicode MS" w:cs="Times New Roman"/>
      <w:sz w:val="28"/>
      <w:szCs w:val="28"/>
      <w:lang w:eastAsia="zh-CN" w:bidi="hi-IN"/>
    </w:rPr>
  </w:style>
  <w:style w:type="paragraph" w:styleId="Style35" w:customStyle="1">
    <w:name w:val="_уровень нумер"/>
    <w:link w:val="afd"/>
    <w:qFormat/>
    <w:rsid w:val="00fd07fd"/>
    <w:pPr>
      <w:widowControl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sz w:val="28"/>
      <w:szCs w:val="28"/>
      <w:lang w:eastAsia="ru-RU" w:val="ru-RU" w:bidi="ar-SA"/>
    </w:rPr>
  </w:style>
  <w:style w:type="paragraph" w:styleId="23" w:customStyle="1">
    <w:name w:val="_уровень нумер 2"/>
    <w:qFormat/>
    <w:rsid w:val="00fd07fd"/>
    <w:pPr>
      <w:widowControl/>
      <w:bidi w:val="0"/>
      <w:spacing w:lineRule="auto" w:line="360" w:before="0" w:after="0"/>
      <w:jc w:val="both"/>
    </w:pPr>
    <w:rPr>
      <w:rFonts w:ascii="Times New Roman" w:hAnsi="Times New Roman" w:eastAsia="Arial Unicode MS" w:cs="Times New Roman"/>
      <w:color w:val="auto"/>
      <w:sz w:val="28"/>
      <w:szCs w:val="28"/>
      <w:lang w:eastAsia="zh-CN" w:bidi="hi-IN" w:val="ru-RU"/>
    </w:rPr>
  </w:style>
  <w:style w:type="paragraph" w:styleId="Head11" w:customStyle="1">
    <w:name w:val="Head1_БЕЗ_ТОЧКИ"/>
    <w:link w:val="Head10"/>
    <w:qFormat/>
    <w:rsid w:val="00fd07fd"/>
    <w:pPr>
      <w:pageBreakBefore/>
      <w:widowControl/>
      <w:bidi w:val="0"/>
      <w:spacing w:lineRule="auto" w:line="360" w:before="120" w:after="120"/>
      <w:jc w:val="both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32"/>
      <w:lang w:eastAsia="ru-RU" w:val="ru-RU" w:bidi="ar-SA"/>
    </w:rPr>
  </w:style>
  <w:style w:type="paragraph" w:styleId="Head2" w:customStyle="1">
    <w:name w:val="Head2_БЕЗ_ТОЧКИ"/>
    <w:qFormat/>
    <w:rsid w:val="00fd07fd"/>
    <w:pPr>
      <w:keepNext/>
      <w:widowControl/>
      <w:tabs>
        <w:tab w:val="left" w:pos="8931" w:leader="none"/>
      </w:tabs>
      <w:bidi w:val="0"/>
      <w:spacing w:lineRule="auto" w:line="360" w:before="120" w:after="120"/>
      <w:jc w:val="both"/>
      <w:outlineLvl w:val="1"/>
    </w:pPr>
    <w:rPr>
      <w:rFonts w:ascii="Times New Roman" w:hAnsi="Times New Roman" w:eastAsia="Times New Roman" w:cs="Arial"/>
      <w:b/>
      <w:bCs/>
      <w:color w:val="auto"/>
      <w:sz w:val="28"/>
      <w:szCs w:val="32"/>
      <w:lang w:eastAsia="ru-RU" w:val="ru-RU" w:bidi="ar-SA"/>
    </w:rPr>
  </w:style>
  <w:style w:type="paragraph" w:styleId="Head31" w:customStyle="1">
    <w:name w:val="Head3_БЕЗ_ТОЧКИ"/>
    <w:link w:val="Head30"/>
    <w:qFormat/>
    <w:rsid w:val="00fd07fd"/>
    <w:pPr>
      <w:keepNext/>
      <w:widowControl/>
      <w:bidi w:val="0"/>
      <w:spacing w:lineRule="auto" w:line="360" w:before="120" w:after="120"/>
      <w:jc w:val="both"/>
      <w:outlineLvl w:val="2"/>
    </w:pPr>
    <w:rPr>
      <w:rFonts w:ascii="Times New Roman" w:hAnsi="Times New Roman" w:eastAsia="Times New Roman" w:cs="Times New Roman"/>
      <w:b/>
      <w:bCs/>
      <w:color w:val="auto"/>
      <w:sz w:val="28"/>
      <w:szCs w:val="26"/>
      <w:lang w:eastAsia="ru-RU" w:val="ru-RU" w:bidi="ar-SA"/>
    </w:rPr>
  </w:style>
  <w:style w:type="paragraph" w:styleId="Head41" w:customStyle="1">
    <w:name w:val="Head4_БЕЗ_ТОЧКИ"/>
    <w:basedOn w:val="Normal"/>
    <w:link w:val="Head40"/>
    <w:autoRedefine/>
    <w:qFormat/>
    <w:rsid w:val="002e3c78"/>
    <w:pPr>
      <w:keepNext/>
      <w:spacing w:lineRule="auto" w:line="360" w:before="120" w:after="120"/>
      <w:jc w:val="both"/>
      <w:outlineLvl w:val="3"/>
    </w:pPr>
    <w:rPr>
      <w:rFonts w:ascii="Times New Roman" w:hAnsi="Times New Roman" w:eastAsia="Arial Unicode MS" w:cs="Times New Roman"/>
      <w:b/>
      <w:color w:val="000000" w:themeColor="text1"/>
      <w:sz w:val="28"/>
      <w:szCs w:val="20"/>
      <w:lang w:eastAsia="ru-RU"/>
    </w:rPr>
  </w:style>
  <w:style w:type="paragraph" w:styleId="Head51" w:customStyle="1">
    <w:name w:val="Head5_БЕЗ_ТОЧКИ"/>
    <w:link w:val="Head50"/>
    <w:qFormat/>
    <w:rsid w:val="00fd07fd"/>
    <w:pPr>
      <w:keepNext/>
      <w:widowControl/>
      <w:bidi w:val="0"/>
      <w:spacing w:lineRule="auto" w:line="360" w:before="120" w:after="120"/>
      <w:ind w:firstLine="851"/>
      <w:jc w:val="both"/>
      <w:outlineLvl w:val="4"/>
    </w:pPr>
    <w:rPr>
      <w:rFonts w:ascii="Times New Roman" w:hAnsi="Times New Roman" w:eastAsia="Times New Roman" w:cs="Times New Roman"/>
      <w:b/>
      <w:color w:val="auto"/>
      <w:sz w:val="28"/>
      <w:szCs w:val="20"/>
      <w:lang w:eastAsia="ru-RU" w:val="ru-RU" w:bidi="ar-SA"/>
    </w:rPr>
  </w:style>
  <w:style w:type="paragraph" w:styleId="Head61" w:customStyle="1">
    <w:name w:val="Head6_БЕЗ_ТОЧКИ"/>
    <w:basedOn w:val="Normal"/>
    <w:link w:val="Head60"/>
    <w:qFormat/>
    <w:rsid w:val="00fd07fd"/>
    <w:pPr>
      <w:keepNext/>
      <w:spacing w:lineRule="auto" w:line="360" w:before="120" w:after="120"/>
      <w:ind w:firstLine="851"/>
      <w:jc w:val="both"/>
      <w:outlineLvl w:val="4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Head7" w:customStyle="1">
    <w:name w:val="Head7_БЕЗ_ТОЧКИ"/>
    <w:basedOn w:val="Normal"/>
    <w:autoRedefine/>
    <w:qFormat/>
    <w:rsid w:val="00fd07fd"/>
    <w:pPr>
      <w:keepNext/>
      <w:spacing w:lineRule="auto" w:line="360" w:before="0" w:after="0"/>
      <w:ind w:firstLine="851"/>
      <w:outlineLvl w:val="4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Style36" w:customStyle="1">
    <w:name w:val="_Стиль Рисунок"/>
    <w:basedOn w:val="Usual1"/>
    <w:qFormat/>
    <w:rsid w:val="00a36501"/>
    <w:pPr>
      <w:keepNext/>
      <w:ind w:hanging="0"/>
      <w:jc w:val="center"/>
    </w:pPr>
    <w:rPr>
      <w:szCs w:val="24"/>
      <w:lang w:eastAsia="ru-RU" w:bidi="ar-SA"/>
    </w:rPr>
  </w:style>
  <w:style w:type="paragraph" w:styleId="Style37" w:customStyle="1">
    <w:name w:val="Название Рисунка"/>
    <w:basedOn w:val="Normal"/>
    <w:link w:val="aff0"/>
    <w:qFormat/>
    <w:rsid w:val="00a36501"/>
    <w:pPr>
      <w:keepLines/>
      <w:spacing w:lineRule="auto" w:line="360" w:before="0" w:after="0"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38" w:customStyle="1">
    <w:name w:val="Название_таблицы"/>
    <w:basedOn w:val="Caption"/>
    <w:link w:val="aff2"/>
    <w:uiPriority w:val="1"/>
    <w:qFormat/>
    <w:rsid w:val="00a36501"/>
    <w:pPr>
      <w:keepLines/>
      <w:spacing w:lineRule="auto" w:line="360" w:before="0" w:after="0"/>
    </w:pPr>
    <w:rPr>
      <w:rFonts w:ascii="Times New Roman" w:hAnsi="Times New Roman" w:eastAsia="Times New Roman" w:cs="Times New Roman"/>
      <w:b w:val="false"/>
      <w:bCs w:val="false"/>
      <w:color w:val="00000A"/>
      <w:sz w:val="28"/>
      <w:szCs w:val="28"/>
      <w:lang w:val="en-US" w:eastAsia="zh-CN"/>
    </w:rPr>
  </w:style>
  <w:style w:type="paragraph" w:styleId="15" w:customStyle="1">
    <w:name w:val="Стиль Заголовок 1 + с тенью все прописные"/>
    <w:basedOn w:val="1"/>
    <w:qFormat/>
    <w:rsid w:val="00846482"/>
    <w:pPr>
      <w:keepLines w:val="false"/>
      <w:numPr>
        <w:ilvl w:val="0"/>
        <w:numId w:val="0"/>
      </w:numPr>
      <w:spacing w:lineRule="auto" w:line="240" w:beforeAutospacing="1" w:afterAutospacing="1"/>
      <w:ind w:left="431" w:hanging="431"/>
    </w:pPr>
    <w:rPr>
      <w:rFonts w:ascii="Arial" w:hAnsi="Arial" w:eastAsia="Times New Roman" w:cs="Times New Roman"/>
      <w:smallCaps/>
      <w:shadow/>
      <w:color w:val="00000A"/>
      <w:sz w:val="36"/>
      <w:szCs w:val="24"/>
      <w:lang w:val="x-none"/>
    </w:rPr>
  </w:style>
  <w:style w:type="paragraph" w:styleId="Osn1" w:customStyle="1">
    <w:name w:val="Osn"/>
    <w:basedOn w:val="Normal"/>
    <w:link w:val="Osn0"/>
    <w:qFormat/>
    <w:rsid w:val="00846482"/>
    <w:pPr>
      <w:widowControl w:val="false"/>
      <w:spacing w:lineRule="auto" w:line="360" w:before="0" w:after="0"/>
      <w:ind w:firstLine="709"/>
      <w:jc w:val="both"/>
      <w:textAlignment w:val="baselin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e3c7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Style39" w:customStyle="1">
    <w:name w:val="ТЗ"/>
    <w:basedOn w:val="Normal"/>
    <w:link w:val="aff7"/>
    <w:qFormat/>
    <w:rsid w:val="009878c2"/>
    <w:pPr>
      <w:spacing w:lineRule="auto" w:line="360" w:before="0" w:after="0"/>
      <w:ind w:firstLine="851"/>
      <w:jc w:val="both"/>
    </w:pPr>
    <w:rPr>
      <w:rFonts w:ascii="Times New Roman" w:hAnsi="Times New Roman" w:eastAsia="SimSu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3"/>
    <w:uiPriority w:val="59"/>
    <w:rsid w:val="002927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image" Target="media/image13.png"/><Relationship Id="rId16" Type="http://schemas.openxmlformats.org/officeDocument/2006/relationships/image" Target="media/image14.png"/><Relationship Id="rId17" Type="http://schemas.openxmlformats.org/officeDocument/2006/relationships/image" Target="media/image15.png"/><Relationship Id="rId18" Type="http://schemas.openxmlformats.org/officeDocument/2006/relationships/image" Target="media/image16.png"/><Relationship Id="rId19" Type="http://schemas.openxmlformats.org/officeDocument/2006/relationships/image" Target="media/image17.png"/><Relationship Id="rId20" Type="http://schemas.openxmlformats.org/officeDocument/2006/relationships/image" Target="media/image18.png"/><Relationship Id="rId21" Type="http://schemas.openxmlformats.org/officeDocument/2006/relationships/image" Target="media/image19.png"/><Relationship Id="rId22" Type="http://schemas.openxmlformats.org/officeDocument/2006/relationships/image" Target="media/image20.png"/><Relationship Id="rId23" Type="http://schemas.openxmlformats.org/officeDocument/2006/relationships/image" Target="media/image21.png"/><Relationship Id="rId24" Type="http://schemas.openxmlformats.org/officeDocument/2006/relationships/image" Target="media/image22.png"/><Relationship Id="rId25" Type="http://schemas.openxmlformats.org/officeDocument/2006/relationships/image" Target="media/image23.png"/><Relationship Id="rId26" Type="http://schemas.openxmlformats.org/officeDocument/2006/relationships/image" Target="media/image24.png"/><Relationship Id="rId27" Type="http://schemas.openxmlformats.org/officeDocument/2006/relationships/image" Target="media/image25.png"/><Relationship Id="rId28" Type="http://schemas.openxmlformats.org/officeDocument/2006/relationships/image" Target="media/image26.png"/><Relationship Id="rId29" Type="http://schemas.openxmlformats.org/officeDocument/2006/relationships/image" Target="media/image27.png"/><Relationship Id="rId30" Type="http://schemas.openxmlformats.org/officeDocument/2006/relationships/image" Target="media/image28.png"/><Relationship Id="rId31" Type="http://schemas.openxmlformats.org/officeDocument/2006/relationships/image" Target="media/image29.png"/><Relationship Id="rId32" Type="http://schemas.openxmlformats.org/officeDocument/2006/relationships/image" Target="media/image30.png"/><Relationship Id="rId33" Type="http://schemas.openxmlformats.org/officeDocument/2006/relationships/image" Target="media/image31.png"/><Relationship Id="rId34" Type="http://schemas.openxmlformats.org/officeDocument/2006/relationships/image" Target="media/image32.png"/><Relationship Id="rId35" Type="http://schemas.openxmlformats.org/officeDocument/2006/relationships/image" Target="media/image33.png"/><Relationship Id="rId36" Type="http://schemas.openxmlformats.org/officeDocument/2006/relationships/image" Target="media/image34.png"/><Relationship Id="rId37" Type="http://schemas.openxmlformats.org/officeDocument/2006/relationships/image" Target="media/image35.png"/><Relationship Id="rId38" Type="http://schemas.openxmlformats.org/officeDocument/2006/relationships/image" Target="media/image36.png"/><Relationship Id="rId39" Type="http://schemas.openxmlformats.org/officeDocument/2006/relationships/image" Target="media/image37.png"/><Relationship Id="rId40" Type="http://schemas.openxmlformats.org/officeDocument/2006/relationships/image" Target="media/image38.png"/><Relationship Id="rId41" Type="http://schemas.openxmlformats.org/officeDocument/2006/relationships/image" Target="media/image39.png"/><Relationship Id="rId42" Type="http://schemas.openxmlformats.org/officeDocument/2006/relationships/image" Target="media/image40.png"/><Relationship Id="rId43" Type="http://schemas.openxmlformats.org/officeDocument/2006/relationships/image" Target="media/image41.png"/><Relationship Id="rId44" Type="http://schemas.openxmlformats.org/officeDocument/2006/relationships/image" Target="media/image42.png"/><Relationship Id="rId45" Type="http://schemas.openxmlformats.org/officeDocument/2006/relationships/image" Target="media/image43.png"/><Relationship Id="rId46" Type="http://schemas.openxmlformats.org/officeDocument/2006/relationships/image" Target="media/image44.png"/><Relationship Id="rId47" Type="http://schemas.openxmlformats.org/officeDocument/2006/relationships/image" Target="media/image45.png"/><Relationship Id="rId48" Type="http://schemas.openxmlformats.org/officeDocument/2006/relationships/image" Target="media/image46.png"/><Relationship Id="rId49" Type="http://schemas.openxmlformats.org/officeDocument/2006/relationships/image" Target="media/image47.png"/><Relationship Id="rId50" Type="http://schemas.openxmlformats.org/officeDocument/2006/relationships/image" Target="media/image48.png"/><Relationship Id="rId51" Type="http://schemas.openxmlformats.org/officeDocument/2006/relationships/image" Target="media/image49.png"/><Relationship Id="rId52" Type="http://schemas.openxmlformats.org/officeDocument/2006/relationships/image" Target="media/image50.png"/><Relationship Id="rId53" Type="http://schemas.openxmlformats.org/officeDocument/2006/relationships/image" Target="media/image51.png"/><Relationship Id="rId54" Type="http://schemas.openxmlformats.org/officeDocument/2006/relationships/image" Target="media/image52.png"/><Relationship Id="rId55" Type="http://schemas.openxmlformats.org/officeDocument/2006/relationships/image" Target="media/image53.png"/><Relationship Id="rId56" Type="http://schemas.openxmlformats.org/officeDocument/2006/relationships/image" Target="media/image54.png"/><Relationship Id="rId57" Type="http://schemas.openxmlformats.org/officeDocument/2006/relationships/image" Target="media/image55.png"/><Relationship Id="rId58" Type="http://schemas.openxmlformats.org/officeDocument/2006/relationships/image" Target="media/image56.png"/><Relationship Id="rId59" Type="http://schemas.openxmlformats.org/officeDocument/2006/relationships/image" Target="media/image57.png"/><Relationship Id="rId60" Type="http://schemas.openxmlformats.org/officeDocument/2006/relationships/image" Target="media/image58.png"/><Relationship Id="rId61" Type="http://schemas.openxmlformats.org/officeDocument/2006/relationships/image" Target="media/image59.png"/><Relationship Id="rId62" Type="http://schemas.openxmlformats.org/officeDocument/2006/relationships/image" Target="media/image60.png"/><Relationship Id="rId63" Type="http://schemas.openxmlformats.org/officeDocument/2006/relationships/image" Target="media/image61.png"/><Relationship Id="rId64" Type="http://schemas.openxmlformats.org/officeDocument/2006/relationships/image" Target="media/image62.png"/><Relationship Id="rId65" Type="http://schemas.openxmlformats.org/officeDocument/2006/relationships/image" Target="media/image63.png"/><Relationship Id="rId66" Type="http://schemas.openxmlformats.org/officeDocument/2006/relationships/image" Target="media/image64.png"/><Relationship Id="rId67" Type="http://schemas.openxmlformats.org/officeDocument/2006/relationships/image" Target="media/image65.png"/><Relationship Id="rId68" Type="http://schemas.openxmlformats.org/officeDocument/2006/relationships/image" Target="media/image66.png"/><Relationship Id="rId69" Type="http://schemas.openxmlformats.org/officeDocument/2006/relationships/image" Target="media/image67.png"/><Relationship Id="rId70" Type="http://schemas.openxmlformats.org/officeDocument/2006/relationships/image" Target="media/image68.png"/><Relationship Id="rId71" Type="http://schemas.openxmlformats.org/officeDocument/2006/relationships/image" Target="media/image69.png"/><Relationship Id="rId72" Type="http://schemas.openxmlformats.org/officeDocument/2006/relationships/image" Target="media/image70.png"/><Relationship Id="rId73" Type="http://schemas.openxmlformats.org/officeDocument/2006/relationships/image" Target="media/image71.png"/><Relationship Id="rId74" Type="http://schemas.openxmlformats.org/officeDocument/2006/relationships/image" Target="media/image72.png"/><Relationship Id="rId75" Type="http://schemas.openxmlformats.org/officeDocument/2006/relationships/image" Target="media/image73.png"/><Relationship Id="rId76" Type="http://schemas.openxmlformats.org/officeDocument/2006/relationships/image" Target="media/image74.png"/><Relationship Id="rId77" Type="http://schemas.openxmlformats.org/officeDocument/2006/relationships/image" Target="media/image75.png"/><Relationship Id="rId78" Type="http://schemas.openxmlformats.org/officeDocument/2006/relationships/image" Target="media/image76.png"/><Relationship Id="rId79" Type="http://schemas.openxmlformats.org/officeDocument/2006/relationships/image" Target="media/image77.png"/><Relationship Id="rId80" Type="http://schemas.openxmlformats.org/officeDocument/2006/relationships/image" Target="media/image78.png"/><Relationship Id="rId81" Type="http://schemas.openxmlformats.org/officeDocument/2006/relationships/image" Target="media/image79.png"/><Relationship Id="rId82" Type="http://schemas.openxmlformats.org/officeDocument/2006/relationships/image" Target="media/image80.png"/><Relationship Id="rId83" Type="http://schemas.openxmlformats.org/officeDocument/2006/relationships/image" Target="media/image81.png"/><Relationship Id="rId84" Type="http://schemas.openxmlformats.org/officeDocument/2006/relationships/image" Target="media/image82.png"/><Relationship Id="rId85" Type="http://schemas.openxmlformats.org/officeDocument/2006/relationships/image" Target="media/image83.png"/><Relationship Id="rId86" Type="http://schemas.openxmlformats.org/officeDocument/2006/relationships/image" Target="media/image84.png"/><Relationship Id="rId87" Type="http://schemas.openxmlformats.org/officeDocument/2006/relationships/image" Target="media/image85.png"/><Relationship Id="rId88" Type="http://schemas.openxmlformats.org/officeDocument/2006/relationships/image" Target="media/image86.png"/><Relationship Id="rId89" Type="http://schemas.openxmlformats.org/officeDocument/2006/relationships/image" Target="media/image87.png"/><Relationship Id="rId90" Type="http://schemas.openxmlformats.org/officeDocument/2006/relationships/image" Target="media/image88.png"/><Relationship Id="rId91" Type="http://schemas.openxmlformats.org/officeDocument/2006/relationships/image" Target="media/image89.png"/><Relationship Id="rId92" Type="http://schemas.openxmlformats.org/officeDocument/2006/relationships/image" Target="media/image90.png"/><Relationship Id="rId93" Type="http://schemas.openxmlformats.org/officeDocument/2006/relationships/image" Target="media/image91.png"/><Relationship Id="rId94" Type="http://schemas.openxmlformats.org/officeDocument/2006/relationships/image" Target="media/image92.png"/><Relationship Id="rId95" Type="http://schemas.openxmlformats.org/officeDocument/2006/relationships/image" Target="media/image93.png"/><Relationship Id="rId96" Type="http://schemas.openxmlformats.org/officeDocument/2006/relationships/image" Target="media/image94.png"/><Relationship Id="rId97" Type="http://schemas.openxmlformats.org/officeDocument/2006/relationships/image" Target="media/image95.png"/><Relationship Id="rId98" Type="http://schemas.openxmlformats.org/officeDocument/2006/relationships/image" Target="media/image96.png"/><Relationship Id="rId99" Type="http://schemas.openxmlformats.org/officeDocument/2006/relationships/image" Target="media/image97.png"/><Relationship Id="rId100" Type="http://schemas.openxmlformats.org/officeDocument/2006/relationships/image" Target="media/image98.png"/><Relationship Id="rId101" Type="http://schemas.openxmlformats.org/officeDocument/2006/relationships/image" Target="media/image99.png"/><Relationship Id="rId102" Type="http://schemas.openxmlformats.org/officeDocument/2006/relationships/footer" Target="footer2.xml"/><Relationship Id="rId103" Type="http://schemas.openxmlformats.org/officeDocument/2006/relationships/numbering" Target="numbering.xml"/><Relationship Id="rId104" Type="http://schemas.openxmlformats.org/officeDocument/2006/relationships/fontTable" Target="fontTable.xml"/><Relationship Id="rId105" Type="http://schemas.openxmlformats.org/officeDocument/2006/relationships/settings" Target="settings.xml"/><Relationship Id="rId106" Type="http://schemas.openxmlformats.org/officeDocument/2006/relationships/theme" Target="theme/theme1.xml"/><Relationship Id="rId10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prstClr val="white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1084C-8AE9-461F-A1F5-99289AB3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LibreOffice/5.1.6.2$Linux_X86_64 LibreOffice_project/10m0$Build-2</Application>
  <Pages>50</Pages>
  <Words>7002</Words>
  <CharactersWithSpaces>39912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2018-02-27T18:42:00Z</dcterms:created>
  <dc:creator/>
  <dc:description/>
  <dc:language>ru-RU</dc:language>
  <cp:lastModifiedBy/>
  <dcterms:modified xsi:type="dcterms:W3CDTF">2018-02-27T18:42:00Z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