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Протокол цитологического диагностического исследования. Добавление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Sep 16, 2024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формы "Протокол цитологического диагностического исследования"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с общими данными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"Описание"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"Услуга"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10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"Прикрепленные изображения"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10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1.5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"Прикрепленные файлы"</w:t>
          </w:r>
          <w:r>
            <w:tab/>
          </w:r>
          <w:r>
            <w:fldChar w:fldCharType="begin"/>
          </w:r>
          <w:r>
            <w:instrText xml:space="preserve"> PAGEREF _Toc256000005 \h </w:instrText>
          </w:r>
          <w:r>
            <w:fldChar w:fldCharType="separate"/>
          </w:r>
          <w:r>
            <w:t>11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№ 203/у-02 "Протокол цитологического диагностического исследования"</w:t>
          </w:r>
          <w:r>
            <w:tab/>
          </w:r>
          <w:r>
            <w:fldChar w:fldCharType="begin"/>
          </w:r>
          <w:r>
            <w:instrText xml:space="preserve"> PAGEREF _Toc256000006 \h </w:instrText>
          </w:r>
          <w:r>
            <w:fldChar w:fldCharType="separate"/>
          </w:r>
          <w:r>
            <w:t>12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№ 446/у "Протокол цитологического исследования материала, полученного при гинекологическом осмотре, скрининге"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14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14:paraId="3F67A809" w14:textId="0E32A43E">
      <w:bookmarkStart w:id="1" w:name="scroll-bookmark-1"/>
      <w:bookmarkEnd w:id="1"/>
    </w:p>
    <w:p>
      <w:pPr>
        <w:numPr>
          <w:ilvl w:val="0"/>
          <w:numId w:val="33"/>
        </w:numPr>
      </w:pPr>
      <w:hyperlink w:anchor="scroll-bookmark-2" w:history="1">
        <w:r>
          <w:rPr>
            <w:rStyle w:val="Hyperlink"/>
          </w:rPr>
          <w:t>Раздел с общими данными</w:t>
        </w:r>
      </w:hyperlink>
    </w:p>
    <w:p/>
    <w:p>
      <w:pPr>
        <w:pStyle w:val="Heading1"/>
      </w:pPr>
      <w:bookmarkStart w:id="2" w:name="scroll-bookmark-3"/>
      <w:bookmarkStart w:id="3" w:name="_Toc256000000"/>
      <w:r>
        <w:t>Описание формы "Протокол цитологического диагностического исследования"</w:t>
      </w:r>
      <w:bookmarkEnd w:id="3"/>
      <w:bookmarkEnd w:id="2"/>
    </w:p>
    <w:p>
      <w:r>
        <w:rPr>
          <w:color w:val="000000"/>
        </w:rPr>
        <w:t>Форма доступна пользователям </w:t>
      </w:r>
      <w:r>
        <w:t xml:space="preserve">АРМ врача поликлиники, АРМ врача стационара, АРМ патологоанатома </w:t>
      </w:r>
      <w:r>
        <w:rPr>
          <w:color w:val="000000"/>
        </w:rPr>
        <w:t>и </w:t>
      </w:r>
      <w:r>
        <w:t xml:space="preserve">АРМ медицинского статистика: </w:t>
      </w:r>
      <w:r>
        <w:rPr>
          <w:color w:val="000000"/>
        </w:rPr>
        <w:t>при нажатии кнопки "Добавить", "Изменить", "Просмотреть" на панели управления списком формы "</w:t>
      </w:r>
      <w:hyperlink r:id="rId11" w:history="1">
        <w:r>
          <w:rPr>
            <w:rStyle w:val="Hyperlink"/>
          </w:rPr>
          <w:t>Журнал протоколов цитологических диагностических исследований</w:t>
        </w:r>
      </w:hyperlink>
      <w:r>
        <w:t>".</w:t>
      </w:r>
    </w:p>
    <w:p>
      <w:pPr>
        <w:keepNext/>
        <w:spacing w:beforeAutospacing="1"/>
        <w:jc w:val="center"/>
      </w:pPr>
      <w:r>
        <w:drawing>
          <wp:inline>
            <wp:extent cx="5395595" cy="5691068"/>
            <wp:effectExtent l="19050" t="19050" r="28575" b="19050"/>
            <wp:docPr id="100001" name="" descr="- Форма Протокол цитологического диагностического исследования. Доб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69106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- Форма Протокол цитологического диагностического исследования. Добавление</w:t>
      </w:r>
    </w:p>
    <w:p/>
    <w:p>
      <w:r>
        <w:rPr>
          <w:color w:val="000000"/>
        </w:rPr>
        <w:t>Форма состоит из разделов:</w:t>
      </w:r>
    </w:p>
    <w:p>
      <w:pPr>
        <w:numPr>
          <w:ilvl w:val="0"/>
          <w:numId w:val="34"/>
        </w:numPr>
      </w:pPr>
      <w:r>
        <w:rPr>
          <w:color w:val="000000"/>
        </w:rPr>
        <w:t>раздел с общими данными</w:t>
      </w:r>
      <w:r>
        <w:rPr>
          <w:color w:val="000000"/>
        </w:rPr>
        <w:t>;</w:t>
      </w:r>
    </w:p>
    <w:p>
      <w:pPr>
        <w:numPr>
          <w:ilvl w:val="0"/>
          <w:numId w:val="34"/>
        </w:numPr>
      </w:pPr>
      <w:r>
        <w:rPr>
          <w:color w:val="000000"/>
        </w:rPr>
        <w:t>"Описание";</w:t>
      </w:r>
    </w:p>
    <w:p>
      <w:pPr>
        <w:numPr>
          <w:ilvl w:val="0"/>
          <w:numId w:val="34"/>
        </w:numPr>
      </w:pPr>
      <w:r>
        <w:rPr>
          <w:color w:val="000000"/>
        </w:rPr>
        <w:t>"Услуги";</w:t>
      </w:r>
    </w:p>
    <w:p>
      <w:pPr>
        <w:numPr>
          <w:ilvl w:val="0"/>
          <w:numId w:val="34"/>
        </w:numPr>
      </w:pPr>
      <w:r>
        <w:rPr>
          <w:color w:val="000000"/>
        </w:rPr>
        <w:t>"Прикрепленные изображения";</w:t>
      </w:r>
    </w:p>
    <w:p>
      <w:pPr>
        <w:numPr>
          <w:ilvl w:val="0"/>
          <w:numId w:val="34"/>
        </w:numPr>
      </w:pPr>
      <w:r>
        <w:rPr>
          <w:color w:val="000000"/>
        </w:rPr>
        <w:t>"Прикрепленные файлы".</w:t>
      </w:r>
    </w:p>
    <w:p>
      <w:r>
        <w:rPr>
          <w:color w:val="000000"/>
        </w:rPr>
        <w:t>Форма содержит кнопки:</w:t>
      </w:r>
    </w:p>
    <w:p>
      <w:pPr>
        <w:numPr>
          <w:ilvl w:val="0"/>
          <w:numId w:val="35"/>
        </w:numPr>
      </w:pPr>
      <w:r>
        <w:rPr>
          <w:color w:val="000000"/>
        </w:rPr>
        <w:t xml:space="preserve">"Сохранить" – при нажатии кнопки протокол сохраняется. </w:t>
      </w:r>
      <w:r>
        <w:rPr>
          <w:color w:val="000000"/>
        </w:rPr>
        <w:t>После сохранения протокола, если заполнены поля </w:t>
      </w:r>
      <w:r>
        <w:rPr>
          <w:color w:val="000000"/>
        </w:rPr>
        <w:t>"место работы врача из связанного направления" и "</w:t>
      </w:r>
      <w:r>
        <w:rPr>
          <w:color w:val="000000"/>
        </w:rPr>
        <w:t>место работы лаборанта из протокола", то</w:t>
      </w:r>
      <w:r>
        <w:rPr>
          <w:color w:val="000000"/>
        </w:rPr>
        <w:t xml:space="preserve"> вызывается форма </w:t>
      </w:r>
      <w:r>
        <w:rPr>
          <w:color w:val="0000FF"/>
        </w:rPr>
        <w:t>"</w:t>
      </w:r>
      <w:hyperlink r:id="rId13" w:history="1">
        <w:r>
          <w:rPr>
            <w:rStyle w:val="Hyperlink"/>
            <w:color w:val="0000FF"/>
          </w:rPr>
          <w:t>Пакетное подписание данных ЭП от имени пользователя</w:t>
        </w:r>
      </w:hyperlink>
      <w:r>
        <w:rPr>
          <w:color w:val="000000"/>
        </w:rPr>
        <w:t>"</w:t>
      </w:r>
      <w:r>
        <w:rPr>
          <w:color w:val="000000"/>
        </w:rPr>
        <w:t> в режиме "Новая потребность в ЭП". </w:t>
      </w:r>
      <w:r>
        <w:rPr>
          <w:color w:val="000000"/>
        </w:rPr>
        <w:t>При сохранении ранее подписанного</w:t>
      </w:r>
      <w:r>
        <w:rPr>
          <w:b/>
          <w:color w:val="000000"/>
        </w:rPr>
        <w:t xml:space="preserve"> </w:t>
      </w:r>
      <w:r>
        <w:rPr>
          <w:color w:val="000000"/>
        </w:rPr>
        <w:t>протокола </w:t>
      </w:r>
      <w:r>
        <w:rPr>
          <w:color w:val="000000"/>
        </w:rPr>
        <w:t xml:space="preserve">статус подписания документа меняется на "Документ не актуален", вызывается форма </w:t>
      </w:r>
      <w:r>
        <w:rPr>
          <w:color w:val="0000FF"/>
        </w:rPr>
        <w:t>"</w:t>
      </w:r>
      <w:hyperlink r:id="rId13" w:history="1">
        <w:r>
          <w:rPr>
            <w:rStyle w:val="Hyperlink"/>
            <w:color w:val="0000FF"/>
          </w:rPr>
          <w:t>Пакетное подписание данных ЭП от имени пользователя</w:t>
        </w:r>
      </w:hyperlink>
      <w:r>
        <w:rPr>
          <w:color w:val="000000"/>
        </w:rPr>
        <w:t>"</w:t>
      </w:r>
      <w:r>
        <w:rPr>
          <w:color w:val="0000FF"/>
        </w:rPr>
        <w:t> </w:t>
      </w:r>
      <w:r>
        <w:rPr>
          <w:color w:val="000000"/>
        </w:rPr>
        <w:t>сначала в режиме "Удаление потребности ЭП", далее – в режиме "Новая потребность в ЭП";</w:t>
      </w:r>
    </w:p>
    <w:p>
      <w:pPr>
        <w:numPr>
          <w:ilvl w:val="0"/>
          <w:numId w:val="35"/>
        </w:numPr>
      </w:pPr>
      <w:r>
        <w:rPr>
          <w:color w:val="000000"/>
        </w:rPr>
        <w:t>"Сохранить и подписать" – кнопка доступна, если текущий пользователь указан в поле "Исследование выполнили, ФИО" в данном протоколе. При нажатии кнопки:</w:t>
      </w:r>
    </w:p>
    <w:p>
      <w:pPr>
        <w:numPr>
          <w:ilvl w:val="1"/>
          <w:numId w:val="36"/>
        </w:numPr>
      </w:pPr>
      <w:r>
        <w:rPr>
          <w:color w:val="000000"/>
        </w:rPr>
        <w:t>протокол сохраняется и </w:t>
      </w:r>
      <w:r>
        <w:rPr>
          <w:color w:val="000000"/>
        </w:rPr>
        <w:t>производится контроль на наличие данных:</w:t>
      </w:r>
    </w:p>
    <w:p>
      <w:pPr>
        <w:numPr>
          <w:ilvl w:val="2"/>
          <w:numId w:val="37"/>
        </w:numPr>
      </w:pPr>
      <w:r>
        <w:rPr>
          <w:color w:val="000000"/>
        </w:rPr>
        <w:t>если заполнены поля </w:t>
      </w:r>
      <w:r>
        <w:rPr>
          <w:color w:val="000000"/>
        </w:rPr>
        <w:t>"место работы врача из связанного направления" и "</w:t>
      </w:r>
      <w:r>
        <w:rPr>
          <w:color w:val="000000"/>
        </w:rPr>
        <w:t xml:space="preserve">место работы лаборанта из протокола", то </w:t>
      </w:r>
      <w:r>
        <w:rPr>
          <w:color w:val="000000"/>
        </w:rPr>
        <w:t xml:space="preserve">вызывается </w:t>
      </w:r>
      <w:r>
        <w:rPr>
          <w:color w:val="000000"/>
        </w:rPr>
        <w:t xml:space="preserve">форма </w:t>
      </w:r>
      <w:r>
        <w:rPr>
          <w:color w:val="0000FF"/>
        </w:rPr>
        <w:t>"</w:t>
      </w:r>
      <w:hyperlink r:id="rId13" w:history="1">
        <w:r>
          <w:rPr>
            <w:rStyle w:val="Hyperlink"/>
            <w:color w:val="0000FF"/>
          </w:rPr>
          <w:t>Пакетное подписание данных ЭП от имени пользователя</w:t>
        </w:r>
      </w:hyperlink>
      <w:r>
        <w:rPr>
          <w:color w:val="000000"/>
        </w:rPr>
        <w:t xml:space="preserve">" </w:t>
      </w:r>
      <w:r>
        <w:rPr>
          <w:color w:val="000000"/>
        </w:rPr>
        <w:t>в режиме "Новая потребность в ЭП", </w:t>
      </w:r>
      <w:r>
        <w:rPr>
          <w:color w:val="000000"/>
        </w:rPr>
        <w:t xml:space="preserve">открывается форма </w:t>
      </w:r>
      <w:r>
        <w:rPr>
          <w:color w:val="000000"/>
        </w:rPr>
        <w:t>"</w:t>
      </w:r>
      <w:hyperlink r:id="rId14" w:history="1">
        <w:r>
          <w:rPr>
            <w:rStyle w:val="Hyperlink"/>
            <w:color w:val="000000"/>
          </w:rPr>
          <w:t>Подписание данных ЭП</w:t>
        </w:r>
      </w:hyperlink>
      <w:r>
        <w:rPr>
          <w:color w:val="000000"/>
        </w:rPr>
        <w:t>";</w:t>
      </w:r>
    </w:p>
    <w:p>
      <w:pPr>
        <w:numPr>
          <w:ilvl w:val="2"/>
          <w:numId w:val="37"/>
        </w:numPr>
      </w:pPr>
      <w:r>
        <w:rPr>
          <w:color w:val="000000"/>
        </w:rPr>
        <w:t>иначе</w:t>
      </w:r>
      <w:r>
        <w:t xml:space="preserve"> –</w:t>
      </w:r>
      <w:r>
        <w:rPr>
          <w:color w:val="000000"/>
        </w:rPr>
        <w:t> выводится сообщение "</w:t>
      </w:r>
      <w:r>
        <w:rPr>
          <w:color w:val="000000"/>
        </w:rPr>
        <w:t>Для регистрации протокола в РЭМД ЕГИСЗ обязательно наличие следующих данных: &lt;Должность врача в направлении, Должность лаборанта в протоколе (выводится значение в зависимости от недостающих данных)&gt;. Для заполнения данных необходимо зайти в &lt;направление, протокол (выводится значение в зависимости от недостающих данных)&gt; и пересохранить документ</w:t>
      </w:r>
      <w:r>
        <w:rPr>
          <w:color w:val="000000"/>
        </w:rPr>
        <w:t>." Форма "</w:t>
      </w:r>
      <w:hyperlink r:id="rId14" w:history="1">
        <w:r>
          <w:rPr>
            <w:rStyle w:val="Hyperlink"/>
            <w:color w:val="000000"/>
          </w:rPr>
          <w:t>Подписание данных ЭП</w:t>
        </w:r>
      </w:hyperlink>
      <w:r>
        <w:rPr>
          <w:color w:val="000000"/>
        </w:rPr>
        <w:t>" не открывается.</w:t>
      </w:r>
    </w:p>
    <w:p>
      <w:pPr>
        <w:numPr>
          <w:ilvl w:val="1"/>
          <w:numId w:val="36"/>
        </w:numPr>
      </w:pPr>
      <w:r>
        <w:rPr>
          <w:color w:val="000000"/>
        </w:rPr>
        <w:t xml:space="preserve">при сохранении ранее подписанного протокола вызывается </w:t>
      </w:r>
      <w:r>
        <w:rPr>
          <w:color w:val="000000"/>
        </w:rPr>
        <w:t xml:space="preserve">форма </w:t>
      </w:r>
      <w:r>
        <w:rPr>
          <w:color w:val="0000FF"/>
        </w:rPr>
        <w:t>"</w:t>
      </w:r>
      <w:hyperlink r:id="rId13" w:history="1">
        <w:r>
          <w:rPr>
            <w:rStyle w:val="Hyperlink"/>
            <w:color w:val="0000FF"/>
          </w:rPr>
          <w:t>Пакетное подписание данных ЭП от имени пользователя</w:t>
        </w:r>
      </w:hyperlink>
      <w:r>
        <w:rPr>
          <w:color w:val="000000"/>
        </w:rPr>
        <w:t>"</w:t>
      </w:r>
      <w:r>
        <w:rPr>
          <w:color w:val="000000"/>
        </w:rPr>
        <w:t xml:space="preserve"> сначала в режиме "Удаление потребности ЭП", далее – в режиме "Новая потребность в ЭП".</w:t>
      </w:r>
    </w:p>
    <w:p>
      <w:pPr>
        <w:numPr>
          <w:ilvl w:val="0"/>
          <w:numId w:val="35"/>
        </w:numPr>
      </w:pPr>
      <w:r>
        <w:rPr>
          <w:color w:val="000000"/>
        </w:rPr>
        <w:t>"Печать" – при нажатии кнопки открывается печатная форма N 203/у-02 "Протокол цитологического диагностического исследования"</w:t>
      </w:r>
      <w:r>
        <w:rPr>
          <w:color w:val="000000"/>
        </w:rPr>
        <w:t>;</w:t>
      </w:r>
    </w:p>
    <w:p>
      <w:pPr>
        <w:numPr>
          <w:ilvl w:val="0"/>
          <w:numId w:val="35"/>
        </w:numPr>
      </w:pPr>
      <w:r>
        <w:rPr>
          <w:color w:val="000000"/>
        </w:rPr>
        <w:t>"Помощь" – при нажатии кнопки открывается справка;</w:t>
      </w:r>
    </w:p>
    <w:p>
      <w:pPr>
        <w:numPr>
          <w:ilvl w:val="0"/>
          <w:numId w:val="35"/>
        </w:numPr>
      </w:pPr>
      <w:r>
        <w:rPr>
          <w:color w:val="000000"/>
        </w:rPr>
        <w:t>"Отмена" – при нажатии кнопки сохранение не происходит, форма закрывается.</w:t>
      </w:r>
    </w:p>
    <w:p>
      <w:pPr>
        <w:pStyle w:val="Heading2"/>
      </w:pPr>
      <w:bookmarkStart w:id="4" w:name="scroll-bookmark-2"/>
      <w:bookmarkStart w:id="5" w:name="_Toc256000001"/>
      <w:r>
        <w:t>Раздел с общими данными</w:t>
      </w:r>
      <w:bookmarkEnd w:id="5"/>
      <w:bookmarkEnd w:id="4"/>
    </w:p>
    <w:p>
      <w:pPr>
        <w:keepNext/>
        <w:spacing w:beforeAutospacing="1"/>
        <w:jc w:val="center"/>
      </w:pPr>
      <w:r>
        <w:drawing>
          <wp:inline>
            <wp:extent cx="5395595" cy="1246126"/>
            <wp:effectExtent l="19050" t="19050" r="28575" b="19050"/>
            <wp:docPr id="100003" name="" descr="- Раздел с общими данн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4612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- Раздел с общими данными</w:t>
      </w:r>
    </w:p>
    <w:p/>
    <w:p>
      <w:r>
        <w:rPr>
          <w:color w:val="000000"/>
        </w:rPr>
        <w:t>Раздел с общими данными содержит поля:</w:t>
      </w:r>
    </w:p>
    <w:p>
      <w:pPr>
        <w:numPr>
          <w:ilvl w:val="0"/>
          <w:numId w:val="38"/>
        </w:numPr>
      </w:pPr>
      <w:r>
        <w:rPr>
          <w:color w:val="000000"/>
        </w:rPr>
        <w:t>"Направление" – п</w:t>
      </w:r>
      <w:r>
        <w:rPr>
          <w:color w:val="000000"/>
        </w:rPr>
        <w:t>оле выбора направления. Доступно для редактирования. По умолчанию не заполнено. При нажатии на лупу открывается </w:t>
      </w:r>
      <w:r>
        <w:rPr>
          <w:color w:val="000000"/>
        </w:rPr>
        <w:t>форма "Направление на цитологическое исследование: Список"</w:t>
      </w:r>
      <w:r>
        <w:rPr>
          <w:color w:val="000000"/>
        </w:rPr>
        <w:t>. После выбора в поле отображается серия номер и дата выбранного направления;</w:t>
      </w:r>
    </w:p>
    <w:p>
      <w:pPr>
        <w:numPr>
          <w:ilvl w:val="0"/>
          <w:numId w:val="38"/>
        </w:numPr>
      </w:pPr>
      <w:r>
        <w:rPr>
          <w:color w:val="000000"/>
        </w:rPr>
        <w:t>"Дата поступления материала" – поле ввода даты. Значение по умолчанию – текущая дата. Обязательно для заполнения;</w:t>
      </w:r>
    </w:p>
    <w:p>
      <w:pPr>
        <w:numPr>
          <w:ilvl w:val="0"/>
          <w:numId w:val="38"/>
        </w:numPr>
      </w:pPr>
      <w:r>
        <w:rPr>
          <w:color w:val="000000"/>
        </w:rPr>
        <w:t>"Серия исследования", "Регистрационный номер" – поля обязательны для заполнения. Недоступны для редактирования. Для добавления номера нажмите кнопку "+" справа от полей. Предварительно должен быть добавлен нумератор (подробнее см. в справке "</w:t>
      </w:r>
      <w:hyperlink r:id="rId16" w:history="1">
        <w:r>
          <w:rPr>
            <w:rStyle w:val="Hyperlink"/>
            <w:color w:val="000000"/>
          </w:rPr>
          <w:t>Нумераторы</w:t>
        </w:r>
      </w:hyperlink>
      <w:r>
        <w:rPr>
          <w:color w:val="000000"/>
        </w:rPr>
        <w:t>") для документа с типом "Протокол цитологического диагностического исследования". </w:t>
      </w:r>
      <w:r>
        <w:rPr>
          <w:color w:val="000000"/>
        </w:rPr>
        <w:t>Значение устанавливается нумератором протоколов цитологических диагностических исследований;</w:t>
      </w:r>
    </w:p>
    <w:p>
      <w:pPr>
        <w:numPr>
          <w:ilvl w:val="0"/>
          <w:numId w:val="38"/>
        </w:numPr>
      </w:pPr>
      <w:r>
        <w:rPr>
          <w:color w:val="000000"/>
        </w:rPr>
        <w:t>"Вид оплаты" – поле с выпадающим списком. Значение по умолчанию – вид оплаты выбранного направления. Обязательное для заполнения. В списке отображаются виды оплаты, открытые на текущую дату, и виды оплаты, открытые на дату выписки направления;</w:t>
      </w:r>
    </w:p>
    <w:p>
      <w:pPr>
        <w:numPr>
          <w:ilvl w:val="0"/>
          <w:numId w:val="38"/>
        </w:numPr>
      </w:pPr>
      <w:r>
        <w:rPr>
          <w:color w:val="000000"/>
        </w:rPr>
        <w:t>"Договор" – поле отображается и доступно для редактирования, если в поле "Вид оплаты" выбраны значения, соответствующие следующим источникам оплаты: "Пациент", "Третье лицо (физическое)" или "Третье лицо (юридическое)". Для добавления договора нажмите кнопку "+", расположенную рядом с полем. Отобразится форма "Договоры: Добавление" (описание формы см. в справке "</w:t>
      </w:r>
      <w:hyperlink r:id="rId17" w:history="1">
        <w:r>
          <w:rPr>
            <w:rStyle w:val="Hyperlink"/>
          </w:rPr>
          <w:t>Договоры. Добавление</w:t>
        </w:r>
      </w:hyperlink>
      <w:r>
        <w:t>"</w:t>
      </w:r>
      <w:r>
        <w:rPr>
          <w:color w:val="000000"/>
        </w:rPr>
        <w:t>);</w:t>
      </w:r>
    </w:p>
    <w:p>
      <w:pPr>
        <w:numPr>
          <w:ilvl w:val="0"/>
          <w:numId w:val="38"/>
        </w:numPr>
      </w:pPr>
      <w:r>
        <w:rPr>
          <w:color w:val="000000"/>
        </w:rPr>
        <w:t xml:space="preserve">"Полис ДМС" – поле отображается и доступно для редактирования, если в поле "Вид оплаты" выбрано значение "ДМС". Для добавления ДМС нажмите кнопку "+", расположенную рядом с полем. Отобразится форма "ДМС: Добавление" (описание формы см. в справке </w:t>
      </w:r>
      <w:r>
        <w:t>"</w:t>
      </w:r>
      <w:hyperlink r:id="rId18" w:history="1">
        <w:r>
          <w:rPr>
            <w:rStyle w:val="Hyperlink"/>
          </w:rPr>
          <w:t>ДМС. Добавление</w:t>
        </w:r>
      </w:hyperlink>
      <w:r>
        <w:rPr>
          <w:color w:val="000000"/>
        </w:rPr>
        <w:t>").</w:t>
      </w:r>
    </w:p>
    <w:p>
      <w:pPr>
        <w:pStyle w:val="Heading2"/>
      </w:pPr>
      <w:bookmarkStart w:id="6" w:name="scroll-bookmark-4"/>
      <w:bookmarkStart w:id="7" w:name="_Toc256000002"/>
      <w:r>
        <w:t>Раздел "Описание"</w:t>
      </w:r>
      <w:bookmarkEnd w:id="7"/>
      <w:bookmarkEnd w:id="6"/>
    </w:p>
    <w:p>
      <w:pPr>
        <w:keepNext/>
        <w:spacing w:beforeAutospacing="1"/>
        <w:jc w:val="center"/>
      </w:pPr>
      <w:r>
        <w:drawing>
          <wp:inline>
            <wp:extent cx="5395595" cy="4876019"/>
            <wp:effectExtent l="19050" t="19050" r="28575" b="19050"/>
            <wp:docPr id="100005" name="" descr="- Раздел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87601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- Раздел Описание</w:t>
      </w:r>
    </w:p>
    <w:p/>
    <w:p>
      <w:r>
        <w:rPr>
          <w:color w:val="000000"/>
        </w:rPr>
        <w:t>Раздел содержит поля:</w:t>
      </w:r>
    </w:p>
    <w:p>
      <w:pPr>
        <w:numPr>
          <w:ilvl w:val="0"/>
          <w:numId w:val="39"/>
        </w:numPr>
      </w:pPr>
      <w:r>
        <w:rPr>
          <w:color w:val="000000"/>
        </w:rPr>
        <w:t>"Исследование" – п</w:t>
      </w:r>
      <w:r>
        <w:rPr>
          <w:color w:val="000000"/>
        </w:rPr>
        <w:t>оле с выпадающим списком. Недоступно для редактирования. По умолчанию выводится значение поля "Исследование" (код и наименование услуги) из направления</w:t>
      </w:r>
      <w:r>
        <w:rPr>
          <w:color w:val="000000"/>
        </w:rPr>
        <w:t>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"Лабораторный тест" – поле с выпадающим списком. В списке выводятся значения из справочника лабораторных тестов, которые относятся к группе "Цитологические исследования". Обязательно для заполнения. Доступно для редактирования. </w:t>
      </w:r>
      <w:r>
        <w:rPr>
          <w:color w:val="000000"/>
        </w:rPr>
        <w:t>По умолчанию выводится значение, связанное с услугой из поля "Исследование"</w:t>
      </w:r>
      <w:r>
        <w:rPr>
          <w:color w:val="000000"/>
        </w:rPr>
        <w:t>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"Количество" – поля для ввода количества исследований. </w:t>
      </w:r>
      <w:r>
        <w:t>Для услуг, имеющих атрибут "Цитограмма", поле не отображается;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"Количество стекол" – поле для ввода числа. </w:t>
      </w:r>
      <w:r>
        <w:t>Для услуг, имеющих атрибут "Цитограмма", поле не отображается;</w:t>
      </w:r>
      <w:r>
        <w:rPr>
          <w:color w:val="000000"/>
        </w:rPr>
        <w:t> </w:t>
      </w:r>
    </w:p>
    <w:p>
      <w:pPr>
        <w:numPr>
          <w:ilvl w:val="0"/>
          <w:numId w:val="39"/>
        </w:numPr>
      </w:pPr>
      <w:r>
        <w:rPr>
          <w:color w:val="000000"/>
        </w:rPr>
        <w:t>"Количество флаконов" – поле для ввода числа. Для услуг, имеющих атрибут "Цитограмма", поле не отображается;</w:t>
      </w:r>
    </w:p>
    <w:p>
      <w:pPr>
        <w:numPr>
          <w:ilvl w:val="0"/>
          <w:numId w:val="39"/>
        </w:numPr>
      </w:pPr>
      <w:r>
        <w:rPr>
          <w:color w:val="000000"/>
        </w:rPr>
        <w:t>"Дата выдачи врачу" – поле ввода даты. Значение по умолчанию – текущая дата. Обязательно для заполнения. Для услуг, имеющих атрибут "Цитограмма", поле не отображается; 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"Назначенные окраски" – поле с выпадающим списком. </w:t>
      </w:r>
      <w:r>
        <w:rPr>
          <w:color w:val="000000"/>
        </w:rPr>
        <w:t xml:space="preserve">Доступно для редактирования. По умолчанию не заполнено. В </w:t>
      </w:r>
      <w:r>
        <w:rPr>
          <w:color w:val="000000"/>
        </w:rPr>
        <w:t>списке доступны для выбора типы окрасок, у которых указан признак использования в протоколах цитологического исследования. Код типа окраски отображается в соответствии с кодом, указанным в справочнике НСИ.</w:t>
      </w:r>
      <w:r>
        <w:rPr>
          <w:color w:val="000000"/>
        </w:rPr>
        <w:t> Рядом с полем расположена кнопка "+" для добавления дополнительной окраски. Кнопка доступна, если в поле выбрано значение. При нажатии на кнопку добавляется аналогичное поле с выпадающим списком. В списке исключены уже выбранные окраски. Рядом с добавленными полями расположена кнопка для удаления поля. Для услуг, имеющих атрибут "Цитограмма", поле не отображается;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"Цитологический диагноз" – поле с выпадающим списком. </w:t>
      </w:r>
      <w:r>
        <w:rPr>
          <w:color w:val="000000"/>
        </w:rPr>
        <w:t>В выпадающем списке выводятся значения из справочника "Морфологическая классификация новообразований (МКБ-0)". Для услуг, имеющих атрибут "Цитограмма", поле не отображается;</w:t>
      </w:r>
    </w:p>
    <w:p>
      <w:pPr>
        <w:numPr>
          <w:ilvl w:val="0"/>
          <w:numId w:val="0"/>
        </w:numPr>
        <w:ind w:left="720" w:hanging="360"/>
      </w:pPr>
      <w:r>
        <w:rPr>
          <w:color w:val="000000"/>
        </w:rPr>
        <w:t>В списке отображаются диагнозы, действующие на дату создания протокола;</w:t>
      </w:r>
    </w:p>
    <w:p>
      <w:pPr>
        <w:numPr>
          <w:ilvl w:val="0"/>
          <w:numId w:val="39"/>
        </w:numPr>
      </w:pPr>
      <w:r>
        <w:rPr>
          <w:color w:val="000000"/>
        </w:rPr>
        <w:t>"Макроскопическое описание" – поле для ввода текста. Максимальное количество символов – 4000. Для услуг, имеющих атрибут "Цитограмма", поле не отображается;</w:t>
      </w:r>
    </w:p>
    <w:p>
      <w:pPr>
        <w:numPr>
          <w:ilvl w:val="0"/>
          <w:numId w:val="39"/>
        </w:numPr>
      </w:pPr>
      <w:r>
        <w:rPr>
          <w:color w:val="000000"/>
        </w:rPr>
        <w:t>"Интерпретация результата" – п</w:t>
      </w:r>
      <w:r>
        <w:rPr>
          <w:color w:val="000000"/>
        </w:rPr>
        <w:t>оле с выпадающим списком. В списке выводятся значения из справочника кодов интерпретации результата. Для услуг, имеющих атрибут "Цитограмма", поле не отображается</w:t>
      </w:r>
      <w:r>
        <w:rPr>
          <w:color w:val="000000"/>
        </w:rPr>
        <w:t>;</w:t>
      </w:r>
    </w:p>
    <w:p>
      <w:pPr>
        <w:numPr>
          <w:ilvl w:val="0"/>
          <w:numId w:val="39"/>
        </w:numPr>
      </w:pPr>
      <w:r>
        <w:rPr>
          <w:color w:val="000000"/>
        </w:rPr>
        <w:t>"Диагноз по МКБ-10" – поле с выпадающим списком. Обязательно для заполнения. Для услуг, имеющих атрибут "Цитограмма", поле не отображается;</w:t>
      </w:r>
    </w:p>
    <w:p>
      <w:pPr>
        <w:numPr>
          <w:ilvl w:val="0"/>
          <w:numId w:val="0"/>
        </w:numPr>
        <w:ind w:left="720" w:hanging="360"/>
        <w:jc w:val="left"/>
      </w:pPr>
      <w:r>
        <w:rPr>
          <w:color w:val="000000"/>
        </w:rPr>
        <w:t>По умолчанию выводится диагноз из направления. В выпадающем списке выводятся значения из справочника диагнозов МКБ-10;</w:t>
      </w:r>
    </w:p>
    <w:p>
      <w:pPr>
        <w:numPr>
          <w:ilvl w:val="0"/>
          <w:numId w:val="39"/>
        </w:numPr>
      </w:pPr>
      <w:r>
        <w:t>"Категория сложности" – поле с выпадающим списком. Для услуг, имеющих атрибут "Цитограмма", поле не отображается;</w:t>
      </w:r>
    </w:p>
    <w:p>
      <w:pPr>
        <w:numPr>
          <w:ilvl w:val="0"/>
          <w:numId w:val="39"/>
        </w:numPr>
      </w:pPr>
      <w:r>
        <w:rPr>
          <w:color w:val="000000"/>
        </w:rPr>
        <w:t>"Заключение" – поле для ввода текста. Максимальное количество символов – 1000.</w:t>
      </w:r>
    </w:p>
    <w:p/>
    <w:p>
      <w:pPr>
        <w:ind w:left="284"/>
      </w:pPr>
      <w:r>
        <w:rPr>
          <w:color w:val="000000"/>
        </w:rPr>
        <w:t>Поле отображается и обязательно для заполнения.</w:t>
      </w:r>
    </w:p>
    <w:p/>
    <w:p>
      <w:pPr>
        <w:numPr>
          <w:ilvl w:val="0"/>
          <w:numId w:val="42"/>
        </w:numPr>
      </w:pPr>
      <w:r>
        <w:rPr>
          <w:color w:val="000000"/>
        </w:rPr>
        <w:t>"Комментарии" – п</w:t>
      </w:r>
      <w:r>
        <w:rPr>
          <w:color w:val="000000"/>
        </w:rPr>
        <w:t>оле ввода текста. Доступно для редактирования. По умолчанию не заполнено;</w:t>
      </w:r>
    </w:p>
    <w:p>
      <w:pPr>
        <w:numPr>
          <w:ilvl w:val="0"/>
          <w:numId w:val="42"/>
        </w:numPr>
      </w:pPr>
      <w:r>
        <w:rPr>
          <w:color w:val="000000"/>
        </w:rPr>
        <w:t>"Дата проведения исследования" – поле ввода даты. Значение по умолчанию – текущая дата. Обязательно для заполнения;</w:t>
      </w:r>
    </w:p>
    <w:p>
      <w:pPr>
        <w:numPr>
          <w:ilvl w:val="0"/>
          <w:numId w:val="42"/>
        </w:numPr>
      </w:pPr>
      <w:r>
        <w:rPr>
          <w:color w:val="000000"/>
        </w:rPr>
        <w:t>"Исследование выполнили, ФИО" – поле с выпадающим списком. </w:t>
      </w:r>
      <w:r>
        <w:rPr>
          <w:color w:val="000000"/>
        </w:rPr>
        <w:t>В выпадающем списке выводится список сотрудников по отделению. Отделение определяется по рабочему месту врача, заполняющего форму.</w:t>
      </w:r>
      <w:r>
        <w:rPr>
          <w:color w:val="000000"/>
        </w:rPr>
        <w:t xml:space="preserve"> Обязательно для заполнения. Доступен выбор нескольких сотрудников. Рядом с полем расположена кнопка "+ ". Кнопка доступна, если в поле указано значение. При нажатии на кнопку добавляется аналогичное поле с выпадающим списком. В списке исключены уже выбранные сотрудники. Рядом с добавленными полями расположена кнопка для удаления поля;</w:t>
      </w:r>
    </w:p>
    <w:p>
      <w:pPr>
        <w:numPr>
          <w:ilvl w:val="0"/>
          <w:numId w:val="42"/>
        </w:numPr>
      </w:pPr>
      <w:r>
        <w:rPr>
          <w:color w:val="000000"/>
        </w:rPr>
        <w:t>"Лаборант" – п</w:t>
      </w:r>
      <w:r>
        <w:rPr>
          <w:color w:val="000000"/>
        </w:rPr>
        <w:t>оле с выпадающим списком. В выпадающем списке выводится список среднего медицинского персонала по отделению. Отделение определятся по рабочему месту врача, указанного первым в поле "Исследование выполнили, ФИО". При редактировании протокола, если у медицинского персонала имеется несколько мест работы и не удается однозначно определить место работы сотрудника, то поле очищается и выводится уведомление "У выбранного ранее сотрудника в поле "Лаборант" найдено несколько мест работы. Выберите сотрудника с корректным местом работы";</w:t>
      </w:r>
    </w:p>
    <w:p>
      <w:pPr>
        <w:numPr>
          <w:ilvl w:val="0"/>
          <w:numId w:val="42"/>
        </w:numPr>
      </w:pPr>
      <w:r>
        <w:rPr>
          <w:color w:val="000000"/>
        </w:rPr>
        <w:t>"Оборудование" – п</w:t>
      </w:r>
      <w:r>
        <w:rPr>
          <w:color w:val="000000"/>
        </w:rPr>
        <w:t xml:space="preserve">оле с выпадающим списком. </w:t>
      </w:r>
      <w:r>
        <w:rPr>
          <w:color w:val="000000"/>
        </w:rPr>
        <w:t>В выпадающем списке выводятся наименования ресурсов служб с типом "Патолого-анатомическое бюро", принадлежащих отделению, в котором заполняется протокол. Поле о</w:t>
      </w:r>
      <w:r>
        <w:rPr>
          <w:color w:val="000000"/>
        </w:rPr>
        <w:t xml:space="preserve">тображается, если в направлении </w:t>
      </w:r>
      <w:r>
        <w:rPr>
          <w:color w:val="000000"/>
        </w:rPr>
        <w:t>на цитологическое диагностическое исследование</w:t>
      </w:r>
      <w:r>
        <w:rPr>
          <w:color w:val="000000"/>
        </w:rPr>
        <w:t xml:space="preserve"> в поле "Тип службы" указано "Патолого-анатомическое бюро". </w:t>
      </w:r>
      <w:r>
        <w:rPr>
          <w:color w:val="000000"/>
        </w:rPr>
        <w:t>Доступно для редактирования. По умолчанию не заполнено.</w:t>
      </w:r>
    </w:p>
    <w:p>
      <w:r>
        <w:rPr>
          <w:color w:val="000000"/>
        </w:rPr>
        <w:t>Блок "Цитограмма" – поля блока отображаются, если в поле "Исследование" выбрана услуга с атрибутом "Цитограмма". Содержит следующие поля:</w:t>
      </w:r>
    </w:p>
    <w:p>
      <w:pPr>
        <w:numPr>
          <w:ilvl w:val="0"/>
          <w:numId w:val="43"/>
        </w:numPr>
      </w:pPr>
      <w:r>
        <w:rPr>
          <w:color w:val="000000"/>
        </w:rPr>
        <w:t xml:space="preserve">"Качество препарата" – поле с выпадающим списком. </w:t>
      </w:r>
      <w:r>
        <w:rPr>
          <w:color w:val="000000"/>
        </w:rPr>
        <w:t>В выпадающем списке выводятся значения из справочника "Качество препарата для цитологического исследования"</w:t>
      </w:r>
      <w:r>
        <w:rPr>
          <w:color w:val="000000"/>
        </w:rPr>
        <w:t>;</w:t>
      </w:r>
    </w:p>
    <w:p>
      <w:pPr>
        <w:numPr>
          <w:ilvl w:val="0"/>
          <w:numId w:val="43"/>
        </w:numPr>
      </w:pPr>
      <w:r>
        <w:rPr>
          <w:color w:val="000000"/>
        </w:rPr>
        <w:t xml:space="preserve">"Тип мазка" – поле с выпадающим списком. </w:t>
      </w:r>
      <w:r>
        <w:rPr>
          <w:color w:val="000000"/>
        </w:rPr>
        <w:t xml:space="preserve">В выпадающем списке выводятся значения из справочника "Тип мазка, полученного при гинекологическом осмотре, скрининге". </w:t>
      </w:r>
      <w:r>
        <w:rPr>
          <w:color w:val="000000"/>
        </w:rPr>
        <w:t>При выборе значения "1.Цитограмма без особенностей (для репродуктивного возраста)" справа отображается поле для ввода текста;</w:t>
      </w:r>
    </w:p>
    <w:p>
      <w:pPr>
        <w:numPr>
          <w:ilvl w:val="0"/>
          <w:numId w:val="43"/>
        </w:numPr>
      </w:pPr>
      <w:r>
        <w:rPr>
          <w:color w:val="000000"/>
        </w:rPr>
        <w:t>"Описание" – поле ввода текста;</w:t>
      </w:r>
    </w:p>
    <w:p>
      <w:pPr>
        <w:numPr>
          <w:ilvl w:val="0"/>
          <w:numId w:val="43"/>
        </w:numPr>
      </w:pPr>
      <w:r>
        <w:rPr>
          <w:color w:val="000000"/>
        </w:rPr>
        <w:t>"Цитограмма соответствует" – поле с выпадающим списком.</w:t>
      </w:r>
      <w:r>
        <w:rPr>
          <w:color w:val="000000"/>
        </w:rPr>
        <w:t> В выпадающем списке выводятся значения из справочника "Цитологические признаки патологии материала, полученного при профилактическом гинекологическом осмотре, скрининге"</w:t>
      </w:r>
      <w:r>
        <w:rPr>
          <w:color w:val="000000"/>
        </w:rPr>
        <w:t>;</w:t>
      </w:r>
    </w:p>
    <w:p>
      <w:pPr>
        <w:numPr>
          <w:ilvl w:val="0"/>
          <w:numId w:val="43"/>
        </w:numPr>
      </w:pPr>
      <w:r>
        <w:rPr>
          <w:color w:val="000000"/>
        </w:rPr>
        <w:t>"Степень выраженности" – поле ввода текста. Поле отображается и доступно для редактирования, если в поле "Цитограмма соответствует" выбрано значение "3.Признаки соответствуют воспалительному процессу слизистой оболочки (вагинит, экзоцервицит, эндоцервицит)";</w:t>
      </w:r>
    </w:p>
    <w:p>
      <w:pPr>
        <w:numPr>
          <w:ilvl w:val="0"/>
          <w:numId w:val="43"/>
        </w:numPr>
      </w:pPr>
      <w:r>
        <w:rPr>
          <w:color w:val="000000"/>
        </w:rPr>
        <w:t>"Этиологический фактор" – поле ввода текста. Поле отображается и доступно для редактирования, если в поле "Цитограмма соответствует" выбрано значение "3.Признаки соответствуют воспалительному процессу слизистой оболочки (вагинит, экзоцервицит, эндоцервицит)";</w:t>
      </w:r>
    </w:p>
    <w:p>
      <w:pPr>
        <w:numPr>
          <w:ilvl w:val="0"/>
          <w:numId w:val="43"/>
        </w:numPr>
      </w:pPr>
      <w:r>
        <w:t>"Описание (рак)" – поле ввода текста. Поле отображается и доступно для редактирования, если в поле "Цитограмма соответствует" выбрано значение "12. Признаки соответствуют раку";</w:t>
      </w:r>
    </w:p>
    <w:p>
      <w:pPr>
        <w:numPr>
          <w:ilvl w:val="0"/>
          <w:numId w:val="43"/>
        </w:numPr>
      </w:pPr>
      <w:r>
        <w:rPr>
          <w:color w:val="000000"/>
        </w:rPr>
        <w:t>"Другие типы цитологических заключений" – поле ввода текста;</w:t>
      </w:r>
    </w:p>
    <w:p>
      <w:pPr>
        <w:numPr>
          <w:ilvl w:val="0"/>
          <w:numId w:val="43"/>
        </w:numPr>
      </w:pPr>
      <w:r>
        <w:rPr>
          <w:color w:val="000000"/>
        </w:rPr>
        <w:t>"Дополнительные уточнения" – поле ввода текста.</w:t>
      </w:r>
    </w:p>
    <w:p>
      <w:pPr>
        <w:keepNext/>
        <w:spacing w:beforeAutospacing="1"/>
        <w:jc w:val="center"/>
      </w:pPr>
      <w:r>
        <w:drawing>
          <wp:inline>
            <wp:extent cx="5395595" cy="1519490"/>
            <wp:effectExtent l="19050" t="19050" r="28575" b="19050"/>
            <wp:docPr id="100007" name="" descr="- Блок Цитр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5194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4</w:t>
      </w:r>
      <w:r>
        <w:fldChar w:fldCharType="end"/>
      </w:r>
      <w:r>
        <w:t xml:space="preserve"> - Блок Цитрограмма</w:t>
      </w:r>
    </w:p>
    <w:p/>
    <w:p>
      <w:pPr>
        <w:pStyle w:val="Heading2"/>
      </w:pPr>
      <w:bookmarkStart w:id="8" w:name="scroll-bookmark-5"/>
      <w:bookmarkStart w:id="9" w:name="_Toc256000003"/>
      <w:r>
        <w:t>Раздел "Услуга"</w:t>
      </w:r>
      <w:bookmarkEnd w:id="9"/>
      <w:bookmarkEnd w:id="8"/>
    </w:p>
    <w:p>
      <w:pPr>
        <w:keepNext/>
        <w:spacing w:beforeAutospacing="1"/>
        <w:jc w:val="center"/>
      </w:pPr>
      <w:r>
        <w:drawing>
          <wp:inline>
            <wp:extent cx="5395595" cy="1198035"/>
            <wp:effectExtent l="19050" t="19050" r="28575" b="19050"/>
            <wp:docPr id="100009" name="" descr="- Раздел Усл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19803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5</w:t>
      </w:r>
      <w:r>
        <w:fldChar w:fldCharType="end"/>
      </w:r>
      <w:r>
        <w:t xml:space="preserve"> - Раздел Услуга</w:t>
      </w:r>
    </w:p>
    <w:p/>
    <w:p>
      <w:r>
        <w:rPr>
          <w:color w:val="000000"/>
        </w:rPr>
        <w:t>Раздел "Услуга" предназначен для добавления параклинической услуги. Данные представлены в виде таблицы.</w:t>
      </w:r>
    </w:p>
    <w:p>
      <w:r>
        <w:t>Для услуг, имеющих атрибут "Цитограмма", раздел не отображается.</w:t>
      </w:r>
    </w:p>
    <w:p>
      <w:r>
        <w:rPr>
          <w:color w:val="000000"/>
        </w:rPr>
        <w:t>Раздел содержит поля:</w:t>
      </w:r>
    </w:p>
    <w:p>
      <w:pPr>
        <w:numPr>
          <w:ilvl w:val="0"/>
          <w:numId w:val="44"/>
        </w:numPr>
      </w:pPr>
      <w:r>
        <w:rPr>
          <w:color w:val="000000"/>
        </w:rPr>
        <w:t>"Дата" – дата выполнения услуги;</w:t>
      </w:r>
    </w:p>
    <w:p>
      <w:pPr>
        <w:numPr>
          <w:ilvl w:val="0"/>
          <w:numId w:val="44"/>
        </w:numPr>
      </w:pPr>
      <w:r>
        <w:rPr>
          <w:color w:val="000000"/>
        </w:rPr>
        <w:t>"Код" – код услуги;</w:t>
      </w:r>
    </w:p>
    <w:p>
      <w:pPr>
        <w:numPr>
          <w:ilvl w:val="0"/>
          <w:numId w:val="44"/>
        </w:numPr>
      </w:pPr>
      <w:r>
        <w:rPr>
          <w:color w:val="000000"/>
        </w:rPr>
        <w:t>"Наименование" – наименование услуги.</w:t>
      </w:r>
    </w:p>
    <w:p>
      <w:r>
        <w:rPr>
          <w:color w:val="000000"/>
        </w:rPr>
        <w:t>Доступные действия:</w:t>
      </w:r>
    </w:p>
    <w:p>
      <w:pPr>
        <w:numPr>
          <w:ilvl w:val="0"/>
          <w:numId w:val="45"/>
        </w:numPr>
      </w:pPr>
      <w:r>
        <w:rPr>
          <w:color w:val="000000"/>
        </w:rPr>
        <w:t>"Добавить" – при нажатии кнопки будет открыта форма "</w:t>
      </w:r>
      <w:hyperlink r:id="rId22" w:history="1">
        <w:r>
          <w:rPr>
            <w:rStyle w:val="Hyperlink"/>
          </w:rPr>
          <w:t>Параклиническая услуга</w:t>
        </w:r>
      </w:hyperlink>
      <w:r>
        <w:rPr>
          <w:color w:val="000000"/>
        </w:rPr>
        <w:t>" в режиме добавления;</w:t>
      </w:r>
    </w:p>
    <w:p>
      <w:pPr>
        <w:numPr>
          <w:ilvl w:val="0"/>
          <w:numId w:val="45"/>
        </w:numPr>
      </w:pPr>
      <w:r>
        <w:rPr>
          <w:color w:val="000000"/>
        </w:rPr>
        <w:t>"Изменить" – открывает форму "</w:t>
      </w:r>
      <w:hyperlink r:id="rId22" w:history="1">
        <w:r>
          <w:rPr>
            <w:rStyle w:val="Hyperlink"/>
          </w:rPr>
          <w:t>Параклиническая услуга</w:t>
        </w:r>
      </w:hyperlink>
      <w:r>
        <w:rPr>
          <w:color w:val="000000"/>
        </w:rPr>
        <w:t>" в режиме редактирования для выбранной в списке услуги. П</w:t>
      </w:r>
      <w:r>
        <w:rPr>
          <w:color w:val="000000"/>
        </w:rPr>
        <w:t xml:space="preserve">ри открытии протокола на редактирование и редактировании добавленной услуги есть возможность изменять значение полей раздела "1.Направление" на форме </w:t>
      </w:r>
      <w:r>
        <w:rPr>
          <w:color w:val="000000"/>
        </w:rPr>
        <w:t>"</w:t>
      </w:r>
      <w:hyperlink r:id="rId22" w:history="1">
        <w:r>
          <w:rPr>
            <w:rStyle w:val="Hyperlink"/>
            <w:color w:val="000000"/>
          </w:rPr>
          <w:t>Параклиническая услуга</w:t>
        </w:r>
      </w:hyperlink>
      <w:r>
        <w:rPr>
          <w:color w:val="000000"/>
        </w:rPr>
        <w:t>"</w:t>
      </w:r>
      <w:r>
        <w:rPr>
          <w:color w:val="000000"/>
        </w:rPr>
        <w:t>;</w:t>
      </w:r>
    </w:p>
    <w:p>
      <w:pPr>
        <w:numPr>
          <w:ilvl w:val="0"/>
          <w:numId w:val="45"/>
        </w:numPr>
      </w:pPr>
      <w:r>
        <w:rPr>
          <w:color w:val="000000"/>
        </w:rPr>
        <w:t>"Просмотреть" – открывает форму "</w:t>
      </w:r>
      <w:hyperlink r:id="rId22" w:history="1">
        <w:r>
          <w:rPr>
            <w:rStyle w:val="Hyperlink"/>
            <w:color w:val="000000"/>
          </w:rPr>
          <w:t>Параклиническая услуга</w:t>
        </w:r>
      </w:hyperlink>
      <w:r>
        <w:rPr>
          <w:color w:val="000000"/>
        </w:rPr>
        <w:t>" в режиме просмотра для выбранной в списке услуги;</w:t>
      </w:r>
    </w:p>
    <w:p>
      <w:pPr>
        <w:numPr>
          <w:ilvl w:val="0"/>
          <w:numId w:val="45"/>
        </w:numPr>
      </w:pPr>
      <w:r>
        <w:rPr>
          <w:color w:val="000000"/>
        </w:rPr>
        <w:t>"Удалить" – для удаления выбранной услуги</w:t>
      </w:r>
      <w:r>
        <w:t xml:space="preserve">. </w:t>
      </w:r>
      <w:r>
        <w:rPr>
          <w:color w:val="000000"/>
        </w:rPr>
        <w:t>При нажатии кнопки выводится окно для подтверждения удаления. После подтверждения выбранная запись удаляется.</w:t>
      </w:r>
    </w:p>
    <w:p>
      <w:pPr>
        <w:pStyle w:val="Heading2"/>
      </w:pPr>
      <w:bookmarkStart w:id="10" w:name="scroll-bookmark-6"/>
      <w:bookmarkStart w:id="11" w:name="_Toc256000004"/>
      <w:r>
        <w:t>Раздел "Прикрепленные изображения"</w:t>
      </w:r>
      <w:bookmarkEnd w:id="11"/>
      <w:bookmarkEnd w:id="10"/>
    </w:p>
    <w:p>
      <w:r>
        <w:rPr>
          <w:color w:val="000000"/>
        </w:rPr>
        <w:t>Раздел отображается при наличии в протоколе прикрепленных к услугам DICOM-объектов или</w:t>
      </w:r>
      <w:r>
        <w:rPr>
          <w:color w:val="000000"/>
        </w:rPr>
        <w:t xml:space="preserve"> </w:t>
      </w:r>
      <w:r>
        <w:rPr>
          <w:color w:val="000000"/>
        </w:rPr>
        <w:t>ссылки на DIGIPAX.</w:t>
      </w:r>
    </w:p>
    <w:p>
      <w:r>
        <w:rPr>
          <w:color w:val="000000"/>
        </w:rPr>
        <w:t>Для услуг, имеющих атрибут "Цитограмма", раздел не отображается.</w:t>
      </w:r>
    </w:p>
    <w:p>
      <w:r>
        <w:rPr>
          <w:color w:val="000000"/>
        </w:rPr>
        <w:t>Содержит таблицу с информацией обо всех DICOM-объектах, загруженных в услуги данного протокола. Поля раздела:</w:t>
      </w:r>
    </w:p>
    <w:p>
      <w:pPr>
        <w:numPr>
          <w:ilvl w:val="0"/>
          <w:numId w:val="46"/>
        </w:numPr>
      </w:pPr>
      <w:r>
        <w:rPr>
          <w:color w:val="000000"/>
        </w:rPr>
        <w:t>"Дата" – д</w:t>
      </w:r>
      <w:r>
        <w:rPr>
          <w:color w:val="000000"/>
        </w:rPr>
        <w:t>ата исследования</w:t>
      </w:r>
      <w:r>
        <w:rPr>
          <w:color w:val="000000"/>
        </w:rPr>
        <w:t>;</w:t>
      </w:r>
    </w:p>
    <w:p>
      <w:pPr>
        <w:numPr>
          <w:ilvl w:val="0"/>
          <w:numId w:val="46"/>
        </w:numPr>
      </w:pPr>
      <w:r>
        <w:rPr>
          <w:color w:val="000000"/>
        </w:rPr>
        <w:t xml:space="preserve">"Время" – </w:t>
      </w:r>
      <w:r>
        <w:rPr>
          <w:color w:val="000000"/>
        </w:rPr>
        <w:t>время исследования.</w:t>
      </w:r>
      <w:r>
        <w:rPr>
          <w:color w:val="000000"/>
        </w:rPr>
        <w:t>;</w:t>
      </w:r>
    </w:p>
    <w:p>
      <w:pPr>
        <w:numPr>
          <w:ilvl w:val="0"/>
          <w:numId w:val="46"/>
        </w:numPr>
      </w:pPr>
      <w:r>
        <w:rPr>
          <w:color w:val="000000"/>
        </w:rPr>
        <w:t>"Имя пациента" – имя пациента; </w:t>
      </w:r>
    </w:p>
    <w:p>
      <w:pPr>
        <w:numPr>
          <w:ilvl w:val="0"/>
          <w:numId w:val="47"/>
        </w:numPr>
      </w:pPr>
      <w:r>
        <w:rPr>
          <w:color w:val="000000"/>
        </w:rPr>
        <w:t>"Просмотр изображения в DIGIPAX" – п</w:t>
      </w:r>
      <w:r>
        <w:rPr>
          <w:color w:val="000000"/>
        </w:rPr>
        <w:t xml:space="preserve">оле отображается, если протокол создается на службе, у которой стоит признак "Внешняя служба" и "Информационная система": "ЕРИС". </w:t>
      </w:r>
      <w:r>
        <w:rPr>
          <w:color w:val="000000"/>
        </w:rPr>
        <w:t xml:space="preserve">Если </w:t>
      </w:r>
      <w:r>
        <w:rPr>
          <w:color w:val="000000"/>
        </w:rPr>
        <w:t xml:space="preserve">в таблице </w:t>
      </w:r>
      <w:r>
        <w:rPr>
          <w:color w:val="000000"/>
        </w:rPr>
        <w:t>"</w:t>
      </w:r>
      <w:r>
        <w:rPr>
          <w:color w:val="000000"/>
        </w:rPr>
        <w:t xml:space="preserve"> </w:t>
      </w:r>
      <w:r>
        <w:rPr>
          <w:color w:val="000000"/>
        </w:rPr>
        <w:t>Прикрепленные к услуге исследования"</w:t>
      </w:r>
      <w:r>
        <w:rPr>
          <w:color w:val="000000"/>
        </w:rPr>
        <w:t xml:space="preserve"> </w:t>
      </w:r>
      <w:r>
        <w:rPr>
          <w:color w:val="000000"/>
        </w:rPr>
        <w:t>найдена запись, которая содержит параклиническую услугу, связанную с направлением, то в поле выводится гиперссылка с наименованием "Ссылка на DIGIPACS". При нажатии на ссылку в новом окне открывается DIGIPACS с результатами исследования пациента.</w:t>
      </w:r>
    </w:p>
    <w:p>
      <w:r>
        <w:rPr>
          <w:color w:val="000000"/>
        </w:rPr>
        <w:t>Двойной клик по строке открывает форму "Параклиническая услуга: Добавление" на вкладке "DICOM объекты" для услуги, к которой был добавлен данный DICOM-объект.</w:t>
      </w:r>
    </w:p>
    <w:p>
      <w:pPr>
        <w:keepNext/>
        <w:spacing w:beforeAutospacing="1"/>
        <w:jc w:val="center"/>
      </w:pPr>
      <w:r>
        <w:drawing>
          <wp:inline>
            <wp:extent cx="5395595" cy="1275666"/>
            <wp:effectExtent l="19050" t="19050" r="28575" b="19050"/>
            <wp:docPr id="100011" name="" descr="- Раздел Прикрепленные изоб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7566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6</w:t>
      </w:r>
      <w:r>
        <w:fldChar w:fldCharType="end"/>
      </w:r>
      <w:r>
        <w:t xml:space="preserve"> - Раздел Прикрепленные изображения</w:t>
      </w:r>
    </w:p>
    <w:p/>
    <w:p>
      <w:pPr>
        <w:pStyle w:val="Heading2"/>
      </w:pPr>
      <w:bookmarkStart w:id="12" w:name="scroll-bookmark-7"/>
      <w:bookmarkStart w:id="13" w:name="_Toc256000005"/>
      <w:r>
        <w:t>Раздел "Прикрепленные файлы"</w:t>
      </w:r>
      <w:bookmarkEnd w:id="13"/>
      <w:bookmarkEnd w:id="12"/>
    </w:p>
    <w:p>
      <w:r>
        <w:rPr>
          <w:color w:val="000000"/>
        </w:rPr>
        <w:t>Раздел отображается, если в протоколе есть файлы, прикрепленные к услугам. </w:t>
      </w:r>
    </w:p>
    <w:p>
      <w:r>
        <w:rPr>
          <w:color w:val="000000"/>
        </w:rPr>
        <w:t>Для услуг, имеющих атрибут "Цитограмма", раздел не отображается.</w:t>
      </w:r>
    </w:p>
    <w:p>
      <w:r>
        <w:rPr>
          <w:color w:val="000000"/>
        </w:rPr>
        <w:t>Содержит таблицу с информацией обо всех файлах, прикрепленных к услугам данного протокола. Поля раздела:</w:t>
      </w:r>
    </w:p>
    <w:p>
      <w:pPr>
        <w:numPr>
          <w:ilvl w:val="0"/>
          <w:numId w:val="48"/>
        </w:numPr>
      </w:pPr>
      <w:r>
        <w:rPr>
          <w:color w:val="000000"/>
        </w:rPr>
        <w:t>"Дата" – дата загрузки файла;</w:t>
      </w:r>
    </w:p>
    <w:p>
      <w:pPr>
        <w:numPr>
          <w:ilvl w:val="0"/>
          <w:numId w:val="48"/>
        </w:numPr>
      </w:pPr>
      <w:r>
        <w:rPr>
          <w:color w:val="000000"/>
        </w:rPr>
        <w:t>"Файл" – наименование файла, ссылка для скачивания;</w:t>
      </w:r>
    </w:p>
    <w:p>
      <w:pPr>
        <w:numPr>
          <w:ilvl w:val="0"/>
          <w:numId w:val="48"/>
        </w:numPr>
      </w:pPr>
      <w:r>
        <w:rPr>
          <w:color w:val="000000"/>
        </w:rPr>
        <w:t>"Комментарий" – комментарий к файлу.</w:t>
      </w:r>
    </w:p>
    <w:p>
      <w:r>
        <w:rPr>
          <w:color w:val="000000"/>
        </w:rPr>
        <w:t>Двойной клик по строке открывает форму "Параклиническая услуга: Добавление" на вкладке "Файлы" для услуги, к которой был прикреплен данный файл.</w:t>
      </w:r>
    </w:p>
    <w:p>
      <w:pPr>
        <w:keepNext/>
        <w:spacing w:beforeAutospacing="1"/>
        <w:jc w:val="center"/>
      </w:pPr>
      <w:r>
        <w:drawing>
          <wp:inline>
            <wp:extent cx="5395595" cy="1277904"/>
            <wp:effectExtent l="19050" t="19050" r="28575" b="19050"/>
            <wp:docPr id="100013" name="" descr="- Раздел Прикрепленные фа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7790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7</w:t>
      </w:r>
      <w:r>
        <w:fldChar w:fldCharType="end"/>
      </w:r>
      <w:r>
        <w:t xml:space="preserve"> - Раздел Прикрепленные файлы</w:t>
      </w:r>
    </w:p>
    <w:p/>
    <w:p>
      <w:pPr>
        <w:pStyle w:val="Heading1"/>
      </w:pPr>
      <w:bookmarkStart w:id="14" w:name="scroll-bookmark-8"/>
      <w:bookmarkStart w:id="15" w:name="_Toc256000006"/>
      <w:r>
        <w:t>Печатная форма № 203/у-02 "Протокол цитологического диагностического исследования"</w:t>
      </w:r>
      <w:bookmarkEnd w:id="15"/>
      <w:bookmarkEnd w:id="14"/>
    </w:p>
    <w:p>
      <w:r>
        <w:rPr>
          <w:color w:val="000000"/>
        </w:rPr>
        <w:t>Печатная форма отображается:</w:t>
      </w:r>
    </w:p>
    <w:p>
      <w:pPr>
        <w:numPr>
          <w:ilvl w:val="0"/>
          <w:numId w:val="49"/>
        </w:numPr>
      </w:pPr>
      <w:r>
        <w:rPr>
          <w:color w:val="000000"/>
        </w:rPr>
        <w:t>при нажатии кнопки "Печать протокола" на панели управления списком формы "</w:t>
      </w:r>
      <w:hyperlink r:id="rId11" w:history="1">
        <w:r>
          <w:rPr>
            <w:rStyle w:val="Hyperlink"/>
            <w:color w:val="000000"/>
          </w:rPr>
          <w:t>Журнал протоколов цитологических диагностических исследований</w:t>
        </w:r>
      </w:hyperlink>
      <w:r>
        <w:rPr>
          <w:color w:val="000000"/>
        </w:rPr>
        <w:t>";</w:t>
      </w:r>
    </w:p>
    <w:p>
      <w:pPr>
        <w:numPr>
          <w:ilvl w:val="0"/>
          <w:numId w:val="49"/>
        </w:numPr>
      </w:pPr>
      <w:r>
        <w:rPr>
          <w:color w:val="000000"/>
        </w:rPr>
        <w:t>при нажатии кнопки "Печать" на форме "Протокол цитологического диагностического исследования";</w:t>
      </w:r>
    </w:p>
    <w:p>
      <w:pPr>
        <w:numPr>
          <w:ilvl w:val="0"/>
          <w:numId w:val="49"/>
        </w:numPr>
      </w:pPr>
      <w:r>
        <w:t>при нажатии на кнопку "Печать протоколов цитологических исследований" на панели управления журнала заявок АРМ лаборанта.</w:t>
      </w:r>
    </w:p>
    <w:p>
      <w:pPr>
        <w:keepNext/>
        <w:spacing w:beforeAutospacing="1"/>
        <w:jc w:val="center"/>
      </w:pPr>
      <w:r>
        <w:drawing>
          <wp:inline>
            <wp:extent cx="5395595" cy="5278896"/>
            <wp:effectExtent l="19050" t="19050" r="28575" b="19050"/>
            <wp:docPr id="100015" name="" descr="- Печатная форма протокола цитологического диагностического иссле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27889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8</w:t>
      </w:r>
      <w:r>
        <w:fldChar w:fldCharType="end"/>
      </w:r>
      <w:r>
        <w:t xml:space="preserve"> - Печатная форма протокола цитологического диагностического исследования</w:t>
      </w:r>
    </w:p>
    <w:p/>
    <w:p>
      <w:r>
        <w:rPr>
          <w:color w:val="000000"/>
        </w:rPr>
        <w:t>Печать выполняется в формате pdf, формат А4.</w:t>
      </w:r>
    </w:p>
    <w:p>
      <w:r>
        <w:rPr>
          <w:color w:val="000000"/>
        </w:rPr>
        <w:t>При наличии данных об ЭП на печатной форме отображается штамп "Электронная подпись" с информацией об использованном сертификате.</w:t>
      </w:r>
    </w:p>
    <w:p>
      <w:pPr>
        <w:keepNext/>
        <w:spacing w:beforeAutospacing="1"/>
        <w:jc w:val="center"/>
      </w:pPr>
      <w:r>
        <w:drawing>
          <wp:inline>
            <wp:extent cx="2228850" cy="742950"/>
            <wp:effectExtent l="19050" t="19050" r="28575" b="19050"/>
            <wp:docPr id="100017" name="" descr="- Штамп Электронная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4295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9</w:t>
      </w:r>
      <w:r>
        <w:fldChar w:fldCharType="end"/>
      </w:r>
      <w:r>
        <w:t xml:space="preserve"> - Штамп Электронная подпись</w:t>
      </w:r>
    </w:p>
    <w:p/>
    <w:p>
      <w:pPr>
        <w:pStyle w:val="Heading1"/>
      </w:pPr>
      <w:bookmarkStart w:id="16" w:name="scroll-bookmark-9"/>
      <w:bookmarkStart w:id="17" w:name="_Toc256000007"/>
      <w:r>
        <w:t>Печатная форма № 446/у "Протокол цитологического исследования материала, полученного при гинекологическом осмотре, скрининге"</w:t>
      </w:r>
      <w:bookmarkEnd w:id="17"/>
      <w:bookmarkEnd w:id="16"/>
    </w:p>
    <w:p>
      <w:r>
        <w:t>Печатная форма отображается:</w:t>
      </w:r>
    </w:p>
    <w:p>
      <w:pPr>
        <w:numPr>
          <w:ilvl w:val="0"/>
          <w:numId w:val="50"/>
        </w:numPr>
      </w:pPr>
      <w:r>
        <w:t xml:space="preserve">при нажатии на кнопку "Печать протокола" на панели управления списком формы </w:t>
      </w:r>
      <w:r>
        <w:rPr>
          <w:color w:val="000000"/>
        </w:rPr>
        <w:t>"</w:t>
      </w:r>
      <w:hyperlink r:id="rId11" w:history="1">
        <w:r>
          <w:rPr>
            <w:rStyle w:val="Hyperlink"/>
            <w:color w:val="000000"/>
          </w:rPr>
          <w:t>Журнал протоколов цитологических диагностических исследований</w:t>
        </w:r>
      </w:hyperlink>
      <w:r>
        <w:rPr>
          <w:color w:val="000000"/>
        </w:rPr>
        <w:t>"</w:t>
      </w:r>
      <w:r>
        <w:t>;</w:t>
      </w:r>
    </w:p>
    <w:p>
      <w:pPr>
        <w:numPr>
          <w:ilvl w:val="0"/>
          <w:numId w:val="50"/>
        </w:numPr>
      </w:pPr>
      <w:r>
        <w:t>при нажатии на кнопку "Печать" на форме "Протокол цитологического диагностического исследования";</w:t>
      </w:r>
    </w:p>
    <w:p>
      <w:pPr>
        <w:numPr>
          <w:ilvl w:val="0"/>
          <w:numId w:val="50"/>
        </w:numPr>
      </w:pPr>
      <w:r>
        <w:t>при нажатии на кнопку "Печать протоколов цитологических исследований" на панели управления журнала заявок АРМ лаборанта.</w:t>
      </w:r>
    </w:p>
    <w:p>
      <w:pPr>
        <w:jc w:val="center"/>
      </w:pPr>
      <w:r>
        <w:rPr>
          <w:color w:val="000000"/>
        </w:rPr>
        <w:drawing>
          <wp:inline>
            <wp:extent cx="5395595" cy="4430140"/>
            <wp:effectExtent l="19050" t="19050" r="28575" b="19050"/>
            <wp:docPr id="100019" name="" descr="_scroll_external/attachments/image2023-1-25_14-1-56-a17013c1c41e03f08f14ca8d6da73f195c9179843dcfafb97e4c55f4bc3eed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43014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r>
        <w:rPr>
          <w:color w:val="000000"/>
        </w:rPr>
        <w:t>Печать выполняется в формате pdf, формат А4.</w:t>
      </w:r>
    </w:p>
    <w:p>
      <w:r>
        <w:rPr>
          <w:color w:val="000000"/>
        </w:rPr>
        <w:t>При наличии данных об ЭП на печатной форме отображается штамп "Электронная подпись" с информацией об использованном сертификате.</w:t>
      </w:r>
    </w:p>
    <w:p>
      <w:pPr>
        <w:keepNext/>
        <w:spacing w:beforeAutospacing="1"/>
        <w:jc w:val="center"/>
      </w:pPr>
      <w:r>
        <w:drawing>
          <wp:inline>
            <wp:extent cx="2228850" cy="742950"/>
            <wp:effectExtent l="19050" t="19050" r="28575" b="19050"/>
            <wp:docPr id="100021" name="" descr="- Штамп Электронная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4295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10</w:t>
      </w:r>
      <w:r>
        <w:fldChar w:fldCharType="end"/>
      </w:r>
      <w:r>
        <w:t xml:space="preserve"> - Штамп Электронная подпись</w:t>
      </w:r>
    </w:p>
    <w:p/>
    <w:sectPr w:rsidSect="008B1C6A">
      <w:footerReference w:type="default" r:id="rId28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2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Печатная форма № 446/у "Протокол цитологического исследования материала, полученного при гинекологическом осмотре, скрининге"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15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Протокол цитологического диагностического исследования. Добавление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71238380" TargetMode="External" /><Relationship Id="rId12" Type="http://schemas.openxmlformats.org/officeDocument/2006/relationships/image" Target="media/image1.png" /><Relationship Id="rId13" Type="http://schemas.openxmlformats.org/officeDocument/2006/relationships/hyperlink" Target="https://wiki.is-mis.ru/pages/viewpage.action?pageId=123579483" TargetMode="External" /><Relationship Id="rId14" Type="http://schemas.openxmlformats.org/officeDocument/2006/relationships/hyperlink" Target="https://wiki.is-mis.ru/pages/viewpage.action?pageId=189532296" TargetMode="External" /><Relationship Id="rId15" Type="http://schemas.openxmlformats.org/officeDocument/2006/relationships/image" Target="media/image2.png" /><Relationship Id="rId16" Type="http://schemas.openxmlformats.org/officeDocument/2006/relationships/hyperlink" Target="https://wiki.is-mis.ru/pages/viewpage.action?pageId=57249981" TargetMode="External" /><Relationship Id="rId17" Type="http://schemas.openxmlformats.org/officeDocument/2006/relationships/hyperlink" Target="https://wiki.is-mis.ru/pages/viewpage.action?pageId=118784022" TargetMode="External" /><Relationship Id="rId18" Type="http://schemas.openxmlformats.org/officeDocument/2006/relationships/hyperlink" Target="https://wiki.is-mis.ru/pages/viewpage.action?pageId=97583588" TargetMode="External" /><Relationship Id="rId19" Type="http://schemas.openxmlformats.org/officeDocument/2006/relationships/image" Target="media/image3.png" /><Relationship Id="rId2" Type="http://schemas.openxmlformats.org/officeDocument/2006/relationships/webSettings" Target="webSettings.xml" /><Relationship Id="rId20" Type="http://schemas.openxmlformats.org/officeDocument/2006/relationships/image" Target="media/image4.png" /><Relationship Id="rId21" Type="http://schemas.openxmlformats.org/officeDocument/2006/relationships/image" Target="media/image5.png" /><Relationship Id="rId22" Type="http://schemas.openxmlformats.org/officeDocument/2006/relationships/hyperlink" Target="https://wiki.is-mis.ru/pages/viewpage.action?pageId=63373408" TargetMode="External" /><Relationship Id="rId23" Type="http://schemas.openxmlformats.org/officeDocument/2006/relationships/image" Target="media/image6.png" /><Relationship Id="rId24" Type="http://schemas.openxmlformats.org/officeDocument/2006/relationships/image" Target="media/image7.png" /><Relationship Id="rId25" Type="http://schemas.openxmlformats.org/officeDocument/2006/relationships/image" Target="media/image8.png" /><Relationship Id="rId26" Type="http://schemas.openxmlformats.org/officeDocument/2006/relationships/image" Target="media/image9.png" /><Relationship Id="rId27" Type="http://schemas.openxmlformats.org/officeDocument/2006/relationships/image" Target="media/image10.png" /><Relationship Id="rId28" Type="http://schemas.openxmlformats.org/officeDocument/2006/relationships/footer" Target="footer4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15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