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9.0 -->
  <w:body>
    <w:p w:rsidR="00D841F2" w:rsidP="00236273" w14:paraId="6A83BE5F" w14:textId="77777777">
      <w:bookmarkStart w:id="0" w:name="1"/>
    </w:p>
    <w:p w:rsidR="00D841F2" w:rsidP="00CF0B4F" w14:paraId="5B2B3573" w14:textId="77777777"/>
    <w:p w:rsidR="00852D83" w:rsidP="00CF0B4F" w14:paraId="0DF526D9" w14:textId="77777777"/>
    <w:p w:rsidR="00852D83" w:rsidP="00CF0B4F" w14:paraId="10E0050A" w14:textId="77777777"/>
    <w:p w:rsidR="00852D83" w:rsidP="00CF0B4F" w14:paraId="7D2DF891" w14:textId="77777777"/>
    <w:p w:rsidR="00CF0B4F" w:rsidP="00CF0B4F" w14:paraId="02F0DBF5" w14:textId="77777777"/>
    <w:p w:rsidR="00CF0B4F" w:rsidP="00CF0B4F" w14:paraId="3BB764C2" w14:textId="77777777"/>
    <w:p w:rsidR="00CF0B4F" w:rsidP="00CF0B4F" w14:paraId="05A1274B" w14:textId="77777777"/>
    <w:p w:rsidR="00CF0B4F" w:rsidP="00CF0B4F" w14:paraId="7F7CB1FD" w14:textId="77777777"/>
    <w:p w:rsidR="00CF0B4F" w:rsidP="00CF0B4F" w14:paraId="6DC52175" w14:textId="77777777"/>
    <w:p w:rsidR="00CF0B4F" w:rsidP="00CF0B4F" w14:paraId="3EA16ABC" w14:textId="77777777"/>
    <w:p w:rsidR="00CF0B4F" w:rsidRPr="00506961" w:rsidP="00CF0B4F" w14:paraId="7A662037" w14:textId="77777777"/>
    <w:p w:rsidR="00AB6BA6" w:rsidRPr="00506961" w:rsidP="00506961" w14:paraId="01CDCC04" w14:textId="77777777">
      <w:pPr>
        <w:pStyle w:val="Title"/>
        <w:outlineLvl w:val="9"/>
      </w:pPr>
      <w:r w:rsidRPr="00506961">
        <w:t>Направление на прижизненное патолого-анатомическое исследование биопсийного (операционного) материала. Добавление</w:t>
      </w:r>
      <w:bookmarkEnd w:id="0"/>
    </w:p>
    <w:p w:rsidR="00AB6BA6" w:rsidRPr="00AB6BA6" w:rsidP="00506961" w14:paraId="4E2CC0C8" w14:textId="4F187178">
      <w:pPr>
        <w:pStyle w:val="SublineHeader"/>
        <w:outlineLvl w:val="9"/>
        <w:rPr>
          <w:rFonts w:ascii="Times New Roman" w:hAnsi="Times New Roman"/>
          <w:sz w:val="24"/>
        </w:rPr>
      </w:pPr>
      <w:r w:rsidRPr="00AB6BA6">
        <w:t>Справочная информация ЕЦП</w:t>
      </w:r>
    </w:p>
    <w:p w:rsidR="00AB6BA6" w:rsidP="00506961" w14:paraId="0491B3A2" w14:textId="77777777">
      <w:pPr>
        <w:jc w:val="center"/>
      </w:pPr>
    </w:p>
    <w:p w:rsidR="00940D8A" w:rsidP="00506961" w14:paraId="3F7D1EBB" w14:textId="77777777">
      <w:pPr>
        <w:jc w:val="center"/>
      </w:pPr>
    </w:p>
    <w:p w:rsidR="00940D8A" w:rsidP="00506961" w14:paraId="3E10C553" w14:textId="77777777">
      <w:pPr>
        <w:jc w:val="center"/>
      </w:pPr>
    </w:p>
    <w:p w:rsidR="00506961" w:rsidP="00506961" w14:paraId="7F395F6C" w14:textId="77777777">
      <w:pPr>
        <w:jc w:val="center"/>
      </w:pPr>
    </w:p>
    <w:p w:rsidR="002B48D8" w:rsidP="00506961" w14:paraId="36506BB5" w14:textId="77777777">
      <w:pPr>
        <w:jc w:val="center"/>
      </w:pPr>
    </w:p>
    <w:p w:rsidR="002B48D8" w:rsidP="00506961" w14:paraId="4640D5BF" w14:textId="77777777">
      <w:pPr>
        <w:jc w:val="center"/>
      </w:pPr>
    </w:p>
    <w:p w:rsidR="00AE2366" w:rsidP="00506961" w14:paraId="2691D857" w14:textId="77777777">
      <w:pPr>
        <w:jc w:val="center"/>
      </w:pPr>
    </w:p>
    <w:p w:rsidR="00AE2366" w:rsidP="00506961" w14:paraId="44255586" w14:textId="77777777">
      <w:pPr>
        <w:jc w:val="center"/>
      </w:pPr>
    </w:p>
    <w:p w:rsidR="00AE2366" w:rsidP="00506961" w14:paraId="163C5E9F" w14:textId="77777777">
      <w:pPr>
        <w:jc w:val="center"/>
      </w:pPr>
    </w:p>
    <w:p w:rsidR="00AE2366" w:rsidP="00506961" w14:paraId="2506AFF0" w14:textId="77777777">
      <w:pPr>
        <w:jc w:val="center"/>
      </w:pPr>
    </w:p>
    <w:p w:rsidR="00AE2366" w:rsidP="00506961" w14:paraId="0C984A2E" w14:textId="77777777">
      <w:pPr>
        <w:jc w:val="center"/>
      </w:pPr>
    </w:p>
    <w:p w:rsidR="00AE2366" w:rsidP="00506961" w14:paraId="674EE04D" w14:textId="77777777">
      <w:pPr>
        <w:jc w:val="center"/>
      </w:pPr>
    </w:p>
    <w:p w:rsidR="00AE2366" w:rsidP="00506961" w14:paraId="57FFD605" w14:textId="77777777">
      <w:pPr>
        <w:jc w:val="center"/>
      </w:pPr>
    </w:p>
    <w:p w:rsidR="00AE2366" w:rsidP="00506961" w14:paraId="0CC254D0" w14:textId="77777777">
      <w:pPr>
        <w:jc w:val="center"/>
      </w:pPr>
    </w:p>
    <w:p w:rsidR="00852D83" w:rsidRPr="00852D83" w:rsidP="00506961" w14:paraId="67A5CBC2" w14:textId="120543EC">
      <w:pPr>
        <w:pStyle w:val="SublineHeaderLevel2"/>
        <w:outlineLvl w:val="9"/>
      </w:pPr>
      <w:r w:rsidRPr="00852D83">
        <w:t xml:space="preserve">Exported on </w:t>
      </w:r>
      <w:r w:rsidRPr="00852D83">
        <w:t>Sep 16, 2024</w:t>
      </w:r>
    </w:p>
    <w:p w:rsidR="00D841F2" w:rsidP="00506961" w14:paraId="7A969483" w14:textId="77777777">
      <w:pPr>
        <w:pStyle w:val="DocumentMap"/>
        <w:jc w:val="center"/>
      </w:pPr>
      <w:r>
        <w:br w:type="page"/>
      </w:r>
    </w:p>
    <w:sdt>
      <w:sdtPr>
        <w:rPr>
          <w:rFonts w:eastAsia="Times New Roman" w:cs="Times New Roman"/>
          <w:iCs/>
          <w:color w:val="auto"/>
          <w:sz w:val="20"/>
          <w:szCs w:val="24"/>
        </w:rPr>
        <w:id w:val="1056277649"/>
        <w:docPartObj>
          <w:docPartGallery w:val="Table of Contents"/>
          <w:docPartUnique/>
        </w:docPartObj>
      </w:sdtPr>
      <w:sdtEndPr>
        <w:rPr>
          <w:noProof/>
          <w:color w:val="404040" w:themeColor="text1" w:themeTint="BF"/>
          <w:szCs w:val="22"/>
        </w:rPr>
      </w:sdtEndPr>
      <w:sdtContent>
        <w:p w:rsidR="00D841F2" w:rsidRPr="00D10529" w:rsidP="00C4331B" w14:paraId="7DCC58C0" w14:textId="77777777">
          <w:pPr>
            <w:pStyle w:val="TOCHeading"/>
          </w:pPr>
          <w:r w:rsidRPr="00D10529">
            <w:t>Table of Contents</w:t>
          </w:r>
        </w:p>
        <w:p w:rsidR="00531B81" w:rsidRPr="00D10529" w:rsidP="00D10529" w14:paraId="3D7992EB" w14:textId="77777777">
          <w:pPr>
            <w:pStyle w:val="TOC1"/>
          </w:pPr>
        </w:p>
        <w:p w14:paraId="78133F3A" w14:textId="5BC02ED2"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091F1E">
            <w:instrText xml:space="preserve"> TOC \o "2-3" \t "Heading 1,</w:instrText>
          </w:r>
          <w:r>
            <w:instrText xml:space="preserve">1" </w:instrText>
          </w:r>
          <w:r>
            <w:fldChar w:fldCharType="separate"/>
          </w:r>
          <w:r>
            <w:t>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Доступ к форме</w:t>
          </w:r>
          <w:r>
            <w:tab/>
          </w:r>
          <w:r>
            <w:fldChar w:fldCharType="begin"/>
          </w:r>
          <w:r>
            <w:instrText xml:space="preserve"> PAGEREF _Toc256000000 \h </w:instrText>
          </w:r>
          <w:r>
            <w:fldChar w:fldCharType="separate"/>
          </w:r>
          <w:r>
            <w:t>3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Описание полей формы</w:t>
          </w:r>
          <w:r>
            <w:tab/>
          </w:r>
          <w:r>
            <w:fldChar w:fldCharType="begin"/>
          </w:r>
          <w:r>
            <w:instrText xml:space="preserve"> PAGEREF _Toc256000001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"Направление"</w:t>
          </w:r>
          <w:r>
            <w:tab/>
          </w:r>
          <w:r>
            <w:fldChar w:fldCharType="begin"/>
          </w:r>
          <w:r>
            <w:instrText xml:space="preserve"> PAGEREF _Toc256000002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"Клинические данные"</w:t>
          </w:r>
          <w:r>
            <w:tab/>
          </w:r>
          <w:r>
            <w:fldChar w:fldCharType="begin"/>
          </w:r>
          <w:r>
            <w:instrText xml:space="preserve"> PAGEREF _Toc256000003 \h </w:instrText>
          </w:r>
          <w:r>
            <w:fldChar w:fldCharType="separate"/>
          </w:r>
          <w:r>
            <w:t>8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"Материал"</w:t>
          </w:r>
          <w:r>
            <w:tab/>
          </w:r>
          <w:r>
            <w:fldChar w:fldCharType="begin"/>
          </w:r>
          <w:r>
            <w:instrText xml:space="preserve"> PAGEREF _Toc256000004 \h </w:instrText>
          </w:r>
          <w:r>
            <w:fldChar w:fldCharType="separate"/>
          </w:r>
          <w:r>
            <w:t>9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2.4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"Маркировка материала"</w:t>
          </w:r>
          <w:r>
            <w:tab/>
          </w:r>
          <w:r>
            <w:fldChar w:fldCharType="begin"/>
          </w:r>
          <w:r>
            <w:instrText xml:space="preserve"> PAGEREF _Toc256000005 \h </w:instrText>
          </w:r>
          <w:r>
            <w:fldChar w:fldCharType="separate"/>
          </w:r>
          <w:r>
            <w:t>10</w:t>
          </w:r>
          <w:r>
            <w:fldChar w:fldCharType="end"/>
          </w:r>
        </w:p>
        <w:p>
          <w:pPr>
            <w:pStyle w:val="TOC2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2.5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"Результаты исследований"</w:t>
          </w:r>
          <w:r>
            <w:tab/>
          </w:r>
          <w:r>
            <w:fldChar w:fldCharType="begin"/>
          </w:r>
          <w:r>
            <w:instrText xml:space="preserve"> PAGEREF _Toc256000006 \h </w:instrText>
          </w:r>
          <w:r>
            <w:fldChar w:fldCharType="separate"/>
          </w:r>
          <w:r>
            <w:t>10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Форма "Маркировка материала"</w:t>
          </w:r>
          <w:r>
            <w:tab/>
          </w:r>
          <w:r>
            <w:fldChar w:fldCharType="begin"/>
          </w:r>
          <w:r>
            <w:instrText xml:space="preserve"> PAGEREF _Toc256000007 \h </w:instrText>
          </w:r>
          <w:r>
            <w:fldChar w:fldCharType="separate"/>
          </w:r>
          <w:r>
            <w:t>12</w:t>
          </w:r>
          <w:r>
            <w:fldChar w:fldCharType="end"/>
          </w:r>
        </w:p>
        <w:p>
          <w:pPr>
            <w:pStyle w:val="TOC1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4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Печатная форма № 014/у "Направление на прижизненное патолого-анатомическое исследование биопсийного (операционного) материала"</w:t>
          </w:r>
          <w:r>
            <w:tab/>
          </w:r>
          <w:r>
            <w:fldChar w:fldCharType="begin"/>
          </w:r>
          <w:r>
            <w:instrText xml:space="preserve"> PAGEREF _Toc256000008 \h </w:instrText>
          </w:r>
          <w:r>
            <w:fldChar w:fldCharType="separate"/>
          </w:r>
          <w:r>
            <w:t>14</w:t>
          </w:r>
          <w:r>
            <w:fldChar w:fldCharType="end"/>
          </w:r>
        </w:p>
        <w:p w:rsidR="00D841F2" w:rsidRPr="004B5FCD" w:rsidP="004B5FCD">
          <w:pPr>
            <w:pStyle w:val="TOC1"/>
            <w:rPr>
              <w:bCs w:val="0"/>
              <w:noProof/>
            </w:rPr>
          </w:pPr>
          <w:r>
            <w:rPr>
              <w:bCs w:val="0"/>
              <w:noProof/>
            </w:rPr>
            <w:fldChar w:fldCharType="end"/>
          </w:r>
        </w:p>
      </w:sdtContent>
    </w:sdt>
    <w:p w:rsidR="000D499C" w:rsidP="00D841F2" w14:paraId="2B9B252F" w14:textId="77777777">
      <w:pPr>
        <w:spacing w:after="0"/>
        <w:sectPr w:rsidSect="00506961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:rsidR="00740789" w:rsidRPr="00D841F2" w14:paraId="3F67A809" w14:textId="0E32A43E">
      <w:pPr>
        <w:pStyle w:val="Heading1"/>
      </w:pPr>
      <w:bookmarkStart w:id="1" w:name="scroll-bookmark-1"/>
      <w:bookmarkEnd w:id="1"/>
      <w:bookmarkStart w:id="2" w:name="scroll-bookmark-2"/>
      <w:bookmarkStart w:id="3" w:name="_Toc256000000"/>
      <w:r>
        <w:t>Доступ к форме</w:t>
      </w:r>
      <w:bookmarkEnd w:id="3"/>
      <w:bookmarkEnd w:id="2"/>
    </w:p>
    <w:p>
      <w:r>
        <w:rPr>
          <w:color w:val="000000"/>
        </w:rPr>
        <w:t>Просмотр формы доступен из</w:t>
      </w:r>
      <w:r>
        <w:t xml:space="preserve"> </w:t>
      </w:r>
      <w:hyperlink r:id="rId11" w:history="1">
        <w:r>
          <w:rPr>
            <w:rStyle w:val="Hyperlink"/>
          </w:rPr>
          <w:t>АРМ патологоанатома</w:t>
        </w:r>
      </w:hyperlink>
      <w:r>
        <w:rPr>
          <w:color w:val="000000"/>
        </w:rPr>
        <w:t xml:space="preserve"> по кнопке "Просмотр направления".</w:t>
      </w:r>
    </w:p>
    <w:p>
      <w:r>
        <w:rPr>
          <w:color w:val="000000"/>
        </w:rPr>
        <w:t>Добавление и редактирование формы доступно из главной формы</w:t>
      </w:r>
      <w:r>
        <w:t xml:space="preserve"> </w:t>
      </w:r>
      <w:hyperlink r:id="rId12" w:history="1">
        <w:r>
          <w:rPr>
            <w:rStyle w:val="Hyperlink"/>
          </w:rPr>
          <w:t>АРМ диагностики</w:t>
        </w:r>
      </w:hyperlink>
      <w:r>
        <w:t xml:space="preserve">, формы </w:t>
      </w:r>
      <w:hyperlink r:id="rId11" w:history="1">
        <w:r>
          <w:rPr>
            <w:rStyle w:val="Hyperlink"/>
          </w:rPr>
          <w:t>АРМ патологоанатома</w:t>
        </w:r>
      </w:hyperlink>
      <w:r>
        <w:t xml:space="preserve"> и из </w:t>
      </w:r>
      <w:hyperlink r:id="rId13" w:history="1">
        <w:r>
          <w:rPr>
            <w:rStyle w:val="Hyperlink"/>
          </w:rPr>
          <w:t>ЭМК</w:t>
        </w:r>
      </w:hyperlink>
      <w:r>
        <w:t>.</w:t>
      </w:r>
    </w:p>
    <w:p>
      <w:r>
        <w:rPr>
          <w:color w:val="000000"/>
        </w:rPr>
        <w:t>Для вызова формы из главной формы АРМ:</w:t>
      </w:r>
    </w:p>
    <w:p>
      <w:pPr>
        <w:numPr>
          <w:ilvl w:val="0"/>
          <w:numId w:val="33"/>
        </w:numPr>
      </w:pPr>
      <w:r>
        <w:rPr>
          <w:color w:val="000000"/>
        </w:rPr>
        <w:t>откройте форму</w:t>
      </w:r>
      <w:r>
        <w:t xml:space="preserve"> "</w:t>
      </w:r>
      <w:hyperlink r:id="rId14" w:history="1">
        <w:r>
          <w:rPr>
            <w:rStyle w:val="Hyperlink"/>
          </w:rPr>
          <w:t>Журнал направлений на прижизненное патолого-анатомическое исследование биопсийного (операционного) материала</w:t>
        </w:r>
      </w:hyperlink>
      <w:r>
        <w:t>";</w:t>
      </w:r>
    </w:p>
    <w:p>
      <w:pPr>
        <w:numPr>
          <w:ilvl w:val="0"/>
          <w:numId w:val="33"/>
        </w:numPr>
      </w:pPr>
      <w:r>
        <w:rPr>
          <w:color w:val="000000"/>
        </w:rPr>
        <w:t>нажмите кнопку "Добавить" на панели инструментов.</w:t>
      </w:r>
    </w:p>
    <w:p>
      <w:r>
        <w:rPr>
          <w:color w:val="000000"/>
        </w:rPr>
        <w:t>Для вызова формы из ЭМК:</w:t>
      </w:r>
    </w:p>
    <w:p>
      <w:pPr>
        <w:numPr>
          <w:ilvl w:val="0"/>
          <w:numId w:val="34"/>
        </w:numPr>
      </w:pPr>
      <w:r>
        <w:rPr>
          <w:color w:val="000000"/>
        </w:rPr>
        <w:t>откройте</w:t>
      </w:r>
      <w:r>
        <w:t xml:space="preserve"> </w:t>
      </w:r>
      <w:hyperlink r:id="rId15" w:history="1">
        <w:r>
          <w:rPr>
            <w:rStyle w:val="Hyperlink"/>
          </w:rPr>
          <w:t>Интерактивный документ Посещение</w:t>
        </w:r>
      </w:hyperlink>
      <w:r>
        <w:t>;</w:t>
      </w:r>
    </w:p>
    <w:p>
      <w:pPr>
        <w:numPr>
          <w:ilvl w:val="0"/>
          <w:numId w:val="34"/>
        </w:numPr>
      </w:pPr>
      <w:r>
        <w:rPr>
          <w:color w:val="000000"/>
        </w:rPr>
        <w:t>нажмите кнопку "Создать направление" справа от названия раздела "Направления". </w:t>
      </w:r>
      <w:r>
        <w:rPr>
          <w:color w:val="000000"/>
        </w:rPr>
        <w:t>Отобразится форма добавления направления.</w:t>
      </w:r>
    </w:p>
    <w:p>
      <w:r>
        <w:rPr>
          <w:color w:val="000000"/>
        </w:rPr>
        <w:t xml:space="preserve">Регистрация внешнего электронного направления выполняется, если направившая </w:t>
      </w:r>
      <w:r>
        <w:rPr>
          <w:color w:val="000000"/>
        </w:rPr>
        <w:t>организация не работает в Системе, либо по каким-то причинам не осуществила ввод направления, и пациент предъявляет бумажное направление.</w:t>
      </w:r>
    </w:p>
    <w:p>
      <w:pPr>
        <w:keepNext/>
        <w:spacing w:beforeAutospacing="1"/>
        <w:jc w:val="center"/>
      </w:pPr>
      <w:r>
        <w:drawing>
          <wp:inline>
            <wp:extent cx="5395595" cy="5307274"/>
            <wp:effectExtent l="19050" t="19050" r="28575" b="19050"/>
            <wp:docPr id="100001" name="" descr="Форма добавления направления на прижизненное патолого-анатомическое исследование биопсийного (операционного) матери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530727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</w:t>
      </w:r>
      <w:r>
        <w:fldChar w:fldCharType="end"/>
      </w:r>
      <w:r>
        <w:t xml:space="preserve"> Форма добавления направления на прижизненное патолого-анатомическое исследование биопсийного (операционного) материала</w:t>
      </w:r>
    </w:p>
    <w:p/>
    <w:p>
      <w:pPr>
        <w:pStyle w:val="Heading1"/>
      </w:pPr>
      <w:bookmarkStart w:id="4" w:name="scroll-bookmark-3"/>
      <w:bookmarkStart w:id="5" w:name="_Toc256000001"/>
      <w:r>
        <w:t>Описание полей формы</w:t>
      </w:r>
      <w:bookmarkEnd w:id="5"/>
      <w:bookmarkEnd w:id="4"/>
    </w:p>
    <w:p>
      <w:r>
        <w:rPr>
          <w:color w:val="000000"/>
        </w:rPr>
        <w:t>Форма состоит из разделов:</w:t>
      </w:r>
    </w:p>
    <w:p>
      <w:pPr>
        <w:numPr>
          <w:ilvl w:val="0"/>
          <w:numId w:val="35"/>
        </w:numPr>
      </w:pPr>
      <w:r>
        <w:rPr>
          <w:color w:val="000000"/>
        </w:rPr>
        <w:t>"Направление";</w:t>
      </w:r>
    </w:p>
    <w:p>
      <w:pPr>
        <w:numPr>
          <w:ilvl w:val="0"/>
          <w:numId w:val="35"/>
        </w:numPr>
      </w:pPr>
      <w:r>
        <w:rPr>
          <w:color w:val="000000"/>
        </w:rPr>
        <w:t>"Клинические данные";</w:t>
      </w:r>
    </w:p>
    <w:p>
      <w:pPr>
        <w:numPr>
          <w:ilvl w:val="0"/>
          <w:numId w:val="35"/>
        </w:numPr>
      </w:pPr>
      <w:r>
        <w:rPr>
          <w:color w:val="000000"/>
        </w:rPr>
        <w:t>"Материал";</w:t>
      </w:r>
    </w:p>
    <w:p>
      <w:pPr>
        <w:numPr>
          <w:ilvl w:val="0"/>
          <w:numId w:val="35"/>
        </w:numPr>
      </w:pPr>
      <w:r>
        <w:rPr>
          <w:color w:val="000000"/>
        </w:rPr>
        <w:t>"Маркировка материала";</w:t>
      </w:r>
    </w:p>
    <w:p>
      <w:pPr>
        <w:numPr>
          <w:ilvl w:val="0"/>
          <w:numId w:val="35"/>
        </w:numPr>
      </w:pPr>
      <w:r>
        <w:rPr>
          <w:color w:val="000000"/>
        </w:rPr>
        <w:t>"Результаты исследований".</w:t>
      </w:r>
    </w:p>
    <w:p>
      <w:r>
        <w:rPr>
          <w:color w:val="000000"/>
        </w:rPr>
        <w:t>Форма содержит кнопки:</w:t>
      </w:r>
    </w:p>
    <w:p>
      <w:pPr>
        <w:numPr>
          <w:ilvl w:val="0"/>
          <w:numId w:val="36"/>
        </w:numPr>
      </w:pPr>
      <w:r>
        <w:rPr>
          <w:color w:val="000000"/>
        </w:rPr>
        <w:t>"Сохранить" – при нажатии кнопки направление сохраняется, форма закрывается;</w:t>
      </w:r>
    </w:p>
    <w:p>
      <w:pPr>
        <w:numPr>
          <w:ilvl w:val="0"/>
          <w:numId w:val="37"/>
        </w:numPr>
      </w:pPr>
      <w:r>
        <w:rPr>
          <w:color w:val="000000"/>
        </w:rPr>
        <w:t>"Печать" – при нажатии кнопки открывается печатная форма "Направление на прижизненное патолого-анатомическое исследование биопсийного (операционного) материала" для выбранной записи списка;</w:t>
      </w:r>
    </w:p>
    <w:p>
      <w:pPr>
        <w:numPr>
          <w:ilvl w:val="0"/>
          <w:numId w:val="38"/>
        </w:numPr>
      </w:pPr>
      <w:r>
        <w:rPr>
          <w:color w:val="000000"/>
        </w:rPr>
        <w:t>"Помощь" – при нажатии кнопки открывается справка;</w:t>
      </w:r>
    </w:p>
    <w:p>
      <w:pPr>
        <w:numPr>
          <w:ilvl w:val="0"/>
          <w:numId w:val="38"/>
        </w:numPr>
      </w:pPr>
      <w:r>
        <w:rPr>
          <w:color w:val="000000"/>
        </w:rPr>
        <w:t>"Отмена" – при нажатии кнопки сохранение не происходит, форма закрывается.</w:t>
      </w:r>
    </w:p>
    <w:p>
      <w:pPr>
        <w:pStyle w:val="Heading2"/>
      </w:pPr>
      <w:bookmarkStart w:id="6" w:name="scroll-bookmark-4"/>
      <w:bookmarkStart w:id="7" w:name="_Toc256000002"/>
      <w:r>
        <w:t>Раздел "Направление"</w:t>
      </w:r>
      <w:bookmarkEnd w:id="7"/>
      <w:bookmarkEnd w:id="6"/>
    </w:p>
    <w:p>
      <w:r>
        <w:rPr>
          <w:color w:val="000000"/>
        </w:rPr>
        <w:t>Раздел содержит поля:</w:t>
      </w:r>
    </w:p>
    <w:p>
      <w:pPr>
        <w:keepNext/>
        <w:spacing w:beforeAutospacing="1"/>
        <w:jc w:val="center"/>
      </w:pPr>
      <w:r>
        <w:drawing>
          <wp:inline>
            <wp:extent cx="5395595" cy="3753280"/>
            <wp:effectExtent l="19050" t="19050" r="28575" b="19050"/>
            <wp:docPr id="100003" name="" descr="Раздел Напра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75328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2</w:t>
      </w:r>
      <w:r>
        <w:fldChar w:fldCharType="end"/>
      </w:r>
      <w:r>
        <w:t xml:space="preserve"> Раздел Направление</w:t>
      </w:r>
    </w:p>
    <w:p/>
    <w:p/>
    <w:p>
      <w:pPr>
        <w:numPr>
          <w:ilvl w:val="0"/>
          <w:numId w:val="39"/>
        </w:numPr>
      </w:pPr>
      <w:r>
        <w:rPr>
          <w:color w:val="000000"/>
        </w:rPr>
        <w:t>"Серия, номер направления" – в поля автоматически проставляются значения, добавленные при создании нумератора. Подробнее о создании нумератора описано в справке "</w:t>
      </w:r>
      <w:hyperlink r:id="rId18" w:history="1">
        <w:r>
          <w:rPr>
            <w:rStyle w:val="Hyperlink"/>
            <w:color w:val="000000"/>
          </w:rPr>
          <w:t>Нумераторы</w:t>
        </w:r>
      </w:hyperlink>
      <w:r>
        <w:rPr>
          <w:color w:val="000000"/>
        </w:rPr>
        <w:t>". Доступна генерация номера с помощью кнопки "+", расположенной рядом с полем. </w:t>
      </w:r>
      <w:r>
        <w:rPr>
          <w:color w:val="000000"/>
        </w:rPr>
        <w:t>Обязательно для заполнения. Для внешнего направления: по умолчанию не заполнено;</w:t>
      </w:r>
    </w:p>
    <w:p>
      <w:pPr>
        <w:numPr>
          <w:ilvl w:val="0"/>
          <w:numId w:val="39"/>
        </w:numPr>
      </w:pPr>
      <w:r>
        <w:rPr>
          <w:color w:val="000000"/>
        </w:rPr>
        <w:t>"Дата направления" – п</w:t>
      </w:r>
      <w:r>
        <w:rPr>
          <w:color w:val="000000"/>
        </w:rPr>
        <w:t>оле ввода даты. По умолчанию заполняется текущей датой. Обязательно для заполнения;</w:t>
      </w:r>
    </w:p>
    <w:p>
      <w:pPr>
        <w:numPr>
          <w:ilvl w:val="0"/>
          <w:numId w:val="39"/>
        </w:numPr>
      </w:pPr>
      <w:r>
        <w:rPr>
          <w:color w:val="000000"/>
        </w:rPr>
        <w:t>"Время" – п</w:t>
      </w:r>
      <w:r>
        <w:rPr>
          <w:color w:val="000000"/>
        </w:rPr>
        <w:t>оле ввода времени направления материала. По умолчанию заполняется текущим временем;</w:t>
      </w:r>
    </w:p>
    <w:p>
      <w:pPr>
        <w:numPr>
          <w:ilvl w:val="0"/>
          <w:numId w:val="39"/>
        </w:numPr>
      </w:pPr>
      <w:r>
        <w:rPr>
          <w:color w:val="000000"/>
        </w:rPr>
        <w:t>"Срочность" – п</w:t>
      </w:r>
      <w:r>
        <w:rPr>
          <w:color w:val="000000"/>
        </w:rPr>
        <w:t>оле с выпадающим списком. В списке выводятся значения: "Да", "Нет". По умолчанию – "Нет". Обязательно для заполнения;</w:t>
      </w:r>
    </w:p>
    <w:p>
      <w:pPr>
        <w:numPr>
          <w:ilvl w:val="0"/>
          <w:numId w:val="39"/>
        </w:numPr>
      </w:pPr>
      <w:r>
        <w:rPr>
          <w:color w:val="000000"/>
        </w:rPr>
        <w:t>"Кем направлен" – п</w:t>
      </w:r>
      <w:r>
        <w:rPr>
          <w:color w:val="000000"/>
        </w:rPr>
        <w:t>оле с выпадающим списком. В списке выводятся значения из справочника "Кем направлен": "Другая МО", "Другая организация". По умолчанию установлено значение "Другая МО". Отображается, только если добавляется внешнее направление;</w:t>
      </w:r>
    </w:p>
    <w:p>
      <w:pPr>
        <w:numPr>
          <w:ilvl w:val="0"/>
          <w:numId w:val="39"/>
        </w:numPr>
      </w:pPr>
      <w:r>
        <w:rPr>
          <w:color w:val="000000"/>
        </w:rPr>
        <w:t xml:space="preserve">"Дата документа правоохранительных органов" – поле ввода даты. Обязательно для заполнения, если в поле "Кем направлен" значение "Другая организация", иначе – недоступно. </w:t>
      </w:r>
      <w:r>
        <w:rPr>
          <w:color w:val="000000"/>
        </w:rPr>
        <w:t>Отображается, только если добавляется внешнее направление;</w:t>
      </w:r>
    </w:p>
    <w:p>
      <w:pPr>
        <w:numPr>
          <w:ilvl w:val="0"/>
          <w:numId w:val="39"/>
        </w:numPr>
      </w:pPr>
      <w:r>
        <w:rPr>
          <w:color w:val="000000"/>
        </w:rPr>
        <w:t xml:space="preserve">"Организация" – поле выбора организации. Обязательно для заполнения, если в поле "Кем направлен" значение "Другая организация", иначе – недоступно. </w:t>
      </w:r>
      <w:r>
        <w:rPr>
          <w:color w:val="000000"/>
        </w:rPr>
        <w:t>Отображается, только если добавляется внешнее направление;</w:t>
      </w:r>
    </w:p>
    <w:p>
      <w:pPr>
        <w:numPr>
          <w:ilvl w:val="0"/>
          <w:numId w:val="39"/>
        </w:numPr>
      </w:pPr>
      <w:r>
        <w:rPr>
          <w:color w:val="000000"/>
        </w:rPr>
        <w:t xml:space="preserve">"Обоснование направления" – поле ввода текста. Обязательно для заполнения, если в поле "Кем направлен" значение "Другая организация", иначе – недоступно. </w:t>
      </w:r>
      <w:r>
        <w:rPr>
          <w:color w:val="000000"/>
        </w:rPr>
        <w:t>Отображается, только если добавляется внешнее направление;</w:t>
      </w:r>
    </w:p>
    <w:p>
      <w:pPr>
        <w:numPr>
          <w:ilvl w:val="0"/>
          <w:numId w:val="39"/>
        </w:numPr>
      </w:pPr>
      <w:r>
        <w:rPr>
          <w:color w:val="000000"/>
        </w:rPr>
        <w:t xml:space="preserve">"В пат.-анатом. лаб-ю ЛПУ" – поле с выпадающим списком, заполняется из справочника ЛПУ с фильтрацией по текущему региону и наличию в структуре МО службы с типом "Патологоанатомическое бюро". Если в составе МО пользователя есть служба с типом "Патологоанатомическое бюро", то значение по умолчанию – МО пользователя, иначе значение по умолчанию не заполнено. </w:t>
      </w:r>
      <w:r>
        <w:rPr>
          <w:color w:val="000000"/>
        </w:rPr>
        <w:t>Обязательно для заполнения. Для внешнего направления: по умолчанию выводится МО текущего пользователя;</w:t>
      </w:r>
    </w:p>
    <w:p>
      <w:pPr>
        <w:numPr>
          <w:ilvl w:val="0"/>
          <w:numId w:val="40"/>
        </w:numPr>
      </w:pPr>
      <w:r>
        <w:rPr>
          <w:color w:val="000000"/>
        </w:rPr>
        <w:t>"Служба" – п</w:t>
      </w:r>
      <w:r>
        <w:rPr>
          <w:color w:val="000000"/>
        </w:rPr>
        <w:t>оле с выпадающим списком, в списке выводятся службы МО из поля "В пат.-анатом. лаб-ю ЛПУ" с типом "Патологоанатомическое бюро";</w:t>
      </w:r>
    </w:p>
    <w:p>
      <w:pPr>
        <w:numPr>
          <w:ilvl w:val="0"/>
          <w:numId w:val="41"/>
        </w:numPr>
      </w:pPr>
      <w:r>
        <w:rPr>
          <w:color w:val="000000"/>
        </w:rPr>
        <w:t>"Направившая МО" – п</w:t>
      </w:r>
      <w:r>
        <w:rPr>
          <w:color w:val="000000"/>
        </w:rPr>
        <w:t>оле с выпадающим списком МО. По умолчанию выводится МО пользователя. Обязательно для заполнения. Для внешнего направления: обязательно для заполнения, если в поле "Кем направлен" значение "Другая МО", иначе – недоступно, по умолчанию не заполнено;</w:t>
      </w:r>
    </w:p>
    <w:p>
      <w:pPr>
        <w:numPr>
          <w:ilvl w:val="0"/>
          <w:numId w:val="41"/>
        </w:numPr>
      </w:pPr>
      <w:r>
        <w:rPr>
          <w:color w:val="000000"/>
        </w:rPr>
        <w:t>"Отделение" – п</w:t>
      </w:r>
      <w:r>
        <w:rPr>
          <w:color w:val="000000"/>
        </w:rPr>
        <w:t>оле с выпадающим списком. В списке выводится список отделений МО. Поле автоматически заполняется отделением медработника после заполнения поля "Врач". По умолчанию выводится отделение из места работы пользователя. Если у пользователя несколько мест работы, то определяется по активн</w:t>
      </w:r>
      <w:r>
        <w:rPr>
          <w:color w:val="000000"/>
        </w:rPr>
        <w:t xml:space="preserve">ому АРМ. Если не удается определить однозначно – поле не заполняется. Для внешнего направления: доступно для редактирования, если в поле "Кем направлен" значение "Другая МО", иначе – недоступно. </w:t>
      </w:r>
      <w:r>
        <w:rPr>
          <w:color w:val="000000"/>
        </w:rPr>
        <w:t>Если МО, выбранная в поле "Направившая МО", не работает в Системе, то тип поля "Отделение" меняется на поле ввода текста. </w:t>
      </w:r>
      <w:r>
        <w:rPr>
          <w:color w:val="000000"/>
        </w:rPr>
        <w:br/>
      </w:r>
      <w:r>
        <w:rPr>
          <w:color w:val="000000"/>
        </w:rPr>
        <w:t>Если МО, выбранная в поле "Направившая МО", работает в Системе, то в выпадающем списке выводятся отделения выбранной МО;</w:t>
      </w:r>
    </w:p>
    <w:p>
      <w:pPr>
        <w:numPr>
          <w:ilvl w:val="0"/>
          <w:numId w:val="41"/>
        </w:numPr>
      </w:pPr>
      <w:r>
        <w:rPr>
          <w:color w:val="000000"/>
        </w:rPr>
        <w:t>"Врач" – п</w:t>
      </w:r>
      <w:r>
        <w:rPr>
          <w:color w:val="000000"/>
        </w:rPr>
        <w:t xml:space="preserve">оле с выпадающим списком. В списке выводится медперсонал с местами работы. Если поле </w:t>
      </w:r>
      <w:r>
        <w:rPr>
          <w:color w:val="000000"/>
        </w:rPr>
        <w:t>"Отделение" заполнено, то в списке выводятся медработники выбранного отделения. По умолчанию выводится место работы из учетной записи пользователя. Если у пользователя несколько мест работы, то определяется по активному АРМ. Если не удается определить однозначно – поле не заполняется. Для внешнего направления: доступно для редактирования, если в поле "Кем направлен" значение "Другая МО", иначе – недоступно. Если МО, выбранная в поле "Направившая МО", не работает в Системе, то тип поля "Врач" меняется на поле ввода текста. Если МО, выбранная в поле "Направившая МО", работает в Системе, то в выпадающем списке выводятся медицинские работники выбранной МО. Обязательное для заполнения поле;</w:t>
      </w:r>
    </w:p>
    <w:p>
      <w:pPr>
        <w:numPr>
          <w:ilvl w:val="0"/>
          <w:numId w:val="41"/>
        </w:numPr>
      </w:pPr>
      <w:r>
        <w:rPr>
          <w:color w:val="000000"/>
        </w:rPr>
        <w:t xml:space="preserve">"Телефон врача" – по умолчанию выводится номер телефона выбранного врача, указанный на форме "Место работы" в структуре МО/сотрудники (подробнее см. раздел </w:t>
      </w:r>
      <w:r>
        <w:t>"</w:t>
      </w:r>
      <w:hyperlink r:id="rId19" w:history="1">
        <w:r>
          <w:rPr>
            <w:rStyle w:val="Hyperlink"/>
          </w:rPr>
          <w:t>Место работы. Добавление</w:t>
        </w:r>
      </w:hyperlink>
      <w:r>
        <w:rPr>
          <w:color w:val="000000"/>
        </w:rPr>
        <w:t>");</w:t>
      </w:r>
    </w:p>
    <w:p>
      <w:pPr>
        <w:numPr>
          <w:ilvl w:val="0"/>
          <w:numId w:val="41"/>
        </w:numPr>
      </w:pPr>
      <w:r>
        <w:rPr>
          <w:color w:val="000000"/>
        </w:rPr>
        <w:t>"Вид оплаты" – п</w:t>
      </w:r>
      <w:r>
        <w:rPr>
          <w:color w:val="000000"/>
        </w:rPr>
        <w:t>оле с выпадающим списком. В списке выводятся значения из справочника типов оплаты, открытые на дату создания направления. По умолчанию – "ОМС". Обязательно для заполнения;</w:t>
      </w:r>
    </w:p>
    <w:p>
      <w:pPr>
        <w:numPr>
          <w:ilvl w:val="0"/>
          <w:numId w:val="41"/>
        </w:numPr>
      </w:pPr>
      <w:r>
        <w:rPr>
          <w:color w:val="000000"/>
        </w:rPr>
        <w:t>"№ амб. карты" – поле с выпадающим списком. В списке выводятся номера амбулаторных карт, открытых на дату направления в МО, выписавшей направление. Доступно для редактирования. Доступен ручной ввод номера, не связанного со списком. Значение по умолчанию:</w:t>
      </w:r>
    </w:p>
    <w:p>
      <w:pPr>
        <w:numPr>
          <w:ilvl w:val="1"/>
          <w:numId w:val="42"/>
        </w:numPr>
      </w:pPr>
      <w:r>
        <w:rPr>
          <w:color w:val="000000"/>
        </w:rPr>
        <w:t>пустая строка, если у пациента более одной карты;</w:t>
      </w:r>
    </w:p>
    <w:p>
      <w:pPr>
        <w:numPr>
          <w:ilvl w:val="1"/>
          <w:numId w:val="42"/>
        </w:numPr>
      </w:pPr>
      <w:r>
        <w:rPr>
          <w:color w:val="000000"/>
        </w:rPr>
        <w:t>номер оригинала амбулаторной карты, если у пациента одна открытая карта.</w:t>
      </w:r>
    </w:p>
    <w:p>
      <w:pPr>
        <w:ind w:left="284"/>
      </w:pPr>
      <w:r>
        <w:rPr>
          <w:color w:val="000000"/>
        </w:rPr>
        <w:t>Поле обязательно для заполнения, если не заполнено поле "Карта стационарного больного". Автоматически заполняется при редактировании направления, если есть амбулаторная карта и поле не было заполнено ранее при оформлении.</w:t>
      </w:r>
    </w:p>
    <w:p>
      <w:pPr>
        <w:numPr>
          <w:ilvl w:val="0"/>
          <w:numId w:val="43"/>
        </w:numPr>
      </w:pPr>
      <w:r>
        <w:rPr>
          <w:color w:val="000000"/>
        </w:rPr>
        <w:t xml:space="preserve">"Карта стационарного больного" – поле выбора КВС. По умолчанию не заполнено. При нажатии кнопки "Поиск" отображается форма "КВС: Список" для выбора КВС. </w:t>
      </w:r>
      <w:r>
        <w:rPr>
          <w:color w:val="000000"/>
        </w:rPr>
        <w:t>Если направление создается из стационарного случая лечения, то поле недоступно для редактирования и содержит номер карты пациента, для которого выписывается направление;</w:t>
      </w:r>
    </w:p>
    <w:p>
      <w:pPr>
        <w:numPr>
          <w:ilvl w:val="0"/>
          <w:numId w:val="44"/>
        </w:numPr>
      </w:pPr>
      <w:r>
        <w:rPr>
          <w:color w:val="000000"/>
        </w:rPr>
        <w:t>"Категория услуги" – п</w:t>
      </w:r>
      <w:r>
        <w:rPr>
          <w:color w:val="000000"/>
        </w:rPr>
        <w:t>оле с выпадающим списком. В списке выводятся значения справочника "Категория услуг". Доступно для редактирования. По умолчанию установлено значение "ГОСТ";</w:t>
      </w:r>
    </w:p>
    <w:p>
      <w:pPr>
        <w:numPr>
          <w:ilvl w:val="0"/>
          <w:numId w:val="44"/>
        </w:numPr>
      </w:pPr>
      <w:r>
        <w:rPr>
          <w:color w:val="000000"/>
        </w:rPr>
        <w:t>"Услуга" – п</w:t>
      </w:r>
      <w:r>
        <w:rPr>
          <w:color w:val="000000"/>
        </w:rPr>
        <w:t>оле с вы</w:t>
      </w:r>
      <w:r>
        <w:rPr>
          <w:color w:val="000000"/>
        </w:rPr>
        <w:t xml:space="preserve">падающим списком. </w:t>
      </w:r>
      <w:r>
        <w:rPr>
          <w:color w:val="000000"/>
        </w:rPr>
        <w:t xml:space="preserve">По умолчанию не заполнено. Список доступных значений зависит от выбранной категории услуг. В списке выводятся услуги с атрибутом "Гистологическое исследование". </w:t>
      </w:r>
      <w:r>
        <w:rPr>
          <w:color w:val="000000"/>
        </w:rPr>
        <w:t>Осуществляется фильтрация списка услуг по вхождению введенных символов в код</w:t>
      </w:r>
      <w:r>
        <w:rPr>
          <w:color w:val="000000"/>
        </w:rPr>
        <w:t>;</w:t>
      </w:r>
    </w:p>
    <w:p>
      <w:pPr>
        <w:ind w:left="284"/>
      </w:pPr>
      <w:r>
        <w:rPr>
          <w:color w:val="000000"/>
        </w:rPr>
        <w:t>Поле обязательно для заполнения, если в поле "Служба" выбрана служба, у которой установлен признак "Внешняя служба" и "Информационная система": "ЕРИС";</w:t>
      </w:r>
    </w:p>
    <w:p>
      <w:pPr>
        <w:numPr>
          <w:ilvl w:val="0"/>
          <w:numId w:val="45"/>
        </w:numPr>
      </w:pPr>
      <w:r>
        <w:rPr>
          <w:color w:val="000000"/>
        </w:rPr>
        <w:t>"Ресурс" – поле с выпадающим списком. В списке выводятся ресурсы, которые добавлены на службу из поля "Служба" и с которыми связана выбранная услуга. По умолчанию выводится первый найденный ресурс, доступно для редактирования. Поле отображается и обязательно для заполнения, если в поле "Служба" выбрана служба, у которой стоит признак "Внешняя служба" и "Информационная система": "ЕРИС";</w:t>
      </w:r>
    </w:p>
    <w:p>
      <w:pPr>
        <w:numPr>
          <w:ilvl w:val="0"/>
          <w:numId w:val="46"/>
        </w:numPr>
      </w:pPr>
      <w:r>
        <w:rPr>
          <w:color w:val="000000"/>
        </w:rPr>
        <w:t>"Задача прижизненного патолого-анатомического исследования биопсийного (операционного) материала" – выбирается из выпадающего списка значений из справочника задач прижизненного патолого-анатомического исследования биопсийного (операционного) материала. Доступно для редактирования;</w:t>
      </w:r>
    </w:p>
    <w:p>
      <w:pPr>
        <w:ind w:left="284"/>
      </w:pPr>
      <w:r>
        <w:rPr>
          <w:color w:val="000000"/>
        </w:rPr>
        <w:t xml:space="preserve">Рядом с полем расположена кнопка </w:t>
      </w:r>
      <w:r>
        <w:rPr>
          <w:color w:val="000000"/>
        </w:rPr>
        <w:drawing>
          <wp:inline>
            <wp:extent cx="209524" cy="190476"/>
            <wp:docPr id="100005" name="" descr="_scroll_external/attachments/2019-02-11_105315-6061f788f46ffb6c131d7dde0d667ab64fb47fe2c32363f1b27a259f35435b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524" cy="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для добавления дополнительной задачи. Кнопка доступна, если в поле указано какое-либо значение. При активации кнопки появляется новое поле, содержащее аналогичные значения в выпадающем списке, за исключением уже выбранных задач. Напротив каждого добавленного поля находится кнопка удаления. Поле с пустым значением при сохранении направления не сохранится.</w:t>
      </w:r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  <w:color w:val="000000"/>
              </w:rPr>
              <w:t xml:space="preserve">П р и м е ч а н и е </w:t>
            </w:r>
            <w:r>
              <w:rPr>
                <w:color w:val="000000"/>
              </w:rPr>
              <w:t>– Значение "4. Динамический контроль эффективности лечения" не может быть выбрано вместе с "1. Первичная морфологическая диагностика патологического процесса".</w:t>
            </w:r>
          </w:p>
        </w:tc>
      </w:tr>
    </w:tbl>
    <w:p>
      <w:pPr>
        <w:numPr>
          <w:ilvl w:val="0"/>
          <w:numId w:val="47"/>
        </w:numPr>
      </w:pPr>
      <w:r>
        <w:rPr>
          <w:color w:val="000000"/>
        </w:rPr>
        <w:t>"Проведенное предоперационное лечение" – поле ввода текста, доступно для редактирования, по умолчанию не заполнено.</w:t>
      </w:r>
    </w:p>
    <w:p>
      <w:pPr>
        <w:pStyle w:val="Heading2"/>
      </w:pPr>
      <w:bookmarkStart w:id="8" w:name="scroll-bookmark-5"/>
      <w:bookmarkStart w:id="9" w:name="_Toc256000003"/>
      <w:r>
        <w:t>Раздел "Клинические данные"</w:t>
      </w:r>
      <w:bookmarkEnd w:id="9"/>
      <w:bookmarkEnd w:id="8"/>
    </w:p>
    <w:p>
      <w:pPr>
        <w:keepNext/>
        <w:spacing w:beforeAutospacing="1"/>
        <w:jc w:val="center"/>
      </w:pPr>
      <w:r>
        <w:drawing>
          <wp:inline>
            <wp:extent cx="5395595" cy="2295320"/>
            <wp:effectExtent l="19050" t="19050" r="28575" b="19050"/>
            <wp:docPr id="100007" name="" descr="Раздел Клинические дан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29532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3</w:t>
      </w:r>
      <w:r>
        <w:fldChar w:fldCharType="end"/>
      </w:r>
      <w:r>
        <w:t xml:space="preserve"> Раздел Клинические данные</w:t>
      </w:r>
    </w:p>
    <w:p/>
    <w:p>
      <w:r>
        <w:rPr>
          <w:color w:val="000000"/>
        </w:rPr>
        <w:t>Раздел содержит поля:</w:t>
      </w:r>
    </w:p>
    <w:p>
      <w:pPr>
        <w:numPr>
          <w:ilvl w:val="0"/>
          <w:numId w:val="48"/>
        </w:numPr>
      </w:pPr>
      <w:r>
        <w:rPr>
          <w:color w:val="000000"/>
        </w:rPr>
        <w:t>"Диагноз" – значение выбирается из выпадающего списка из справочника диагнозов. Доступно для редактирования и обязательно для заполнения. Если направление создается из журнала направлений, то по умолчанию поле не заполнено. В остальных случаях по умолчанию в поле указывается диагноз из случая лечения;</w:t>
      </w:r>
    </w:p>
    <w:p>
      <w:pPr>
        <w:numPr>
          <w:ilvl w:val="0"/>
          <w:numId w:val="48"/>
        </w:numPr>
      </w:pPr>
      <w:r>
        <w:rPr>
          <w:color w:val="000000"/>
        </w:rPr>
        <w:t>"Клинические данные" – п</w:t>
      </w:r>
      <w:r>
        <w:rPr>
          <w:color w:val="000000"/>
        </w:rPr>
        <w:t>оле ввода текста. Доступно для редактирования. По умолчанию не заполнено;</w:t>
      </w:r>
    </w:p>
    <w:p>
      <w:pPr>
        <w:numPr>
          <w:ilvl w:val="0"/>
          <w:numId w:val="49"/>
        </w:numPr>
      </w:pPr>
      <w:r>
        <w:rPr>
          <w:color w:val="000000"/>
        </w:rPr>
        <w:t>"Клинические диагноз" – п</w:t>
      </w:r>
      <w:r>
        <w:rPr>
          <w:color w:val="000000"/>
        </w:rPr>
        <w:t>оле ввода текста. Доступно для редактирования. По умолчанию не заполнено.</w:t>
      </w:r>
    </w:p>
    <w:p>
      <w:pPr>
        <w:pStyle w:val="Heading2"/>
      </w:pPr>
      <w:bookmarkStart w:id="10" w:name="scroll-bookmark-6"/>
      <w:bookmarkStart w:id="11" w:name="_Toc256000004"/>
      <w:r>
        <w:t>Раздел "Материал"</w:t>
      </w:r>
      <w:bookmarkEnd w:id="11"/>
      <w:bookmarkEnd w:id="10"/>
    </w:p>
    <w:p>
      <w:pPr>
        <w:keepNext/>
        <w:spacing w:beforeAutospacing="1"/>
        <w:jc w:val="center"/>
      </w:pPr>
      <w:r>
        <w:drawing>
          <wp:inline>
            <wp:extent cx="5395595" cy="1992465"/>
            <wp:effectExtent l="19050" t="19050" r="28575" b="19050"/>
            <wp:docPr id="100009" name="" descr="Раздел Матери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99246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4</w:t>
      </w:r>
      <w:r>
        <w:fldChar w:fldCharType="end"/>
      </w:r>
      <w:r>
        <w:t xml:space="preserve"> Раздел Материалы</w:t>
      </w:r>
    </w:p>
    <w:p/>
    <w:p>
      <w:r>
        <w:rPr>
          <w:color w:val="000000"/>
        </w:rPr>
        <w:t>Раздел содержит поля:</w:t>
      </w:r>
    </w:p>
    <w:p>
      <w:pPr>
        <w:numPr>
          <w:ilvl w:val="0"/>
          <w:numId w:val="50"/>
        </w:numPr>
      </w:pPr>
      <w:r>
        <w:rPr>
          <w:color w:val="000000"/>
        </w:rPr>
        <w:t>"Вид материала" – п</w:t>
      </w:r>
      <w:r>
        <w:rPr>
          <w:color w:val="000000"/>
        </w:rPr>
        <w:t>оле с выпадающим списком. Доступно для редактирования. По умолчанию не заполнено. В списке выводятся значения из справочника "Гистологический материал";</w:t>
      </w:r>
    </w:p>
    <w:p>
      <w:pPr>
        <w:numPr>
          <w:ilvl w:val="0"/>
          <w:numId w:val="50"/>
        </w:numPr>
      </w:pPr>
      <w:r>
        <w:rPr>
          <w:color w:val="000000"/>
        </w:rPr>
        <w:t>"Биопсия" – п</w:t>
      </w:r>
      <w:r>
        <w:rPr>
          <w:color w:val="000000"/>
        </w:rPr>
        <w:t>оле с выпадающим списком. Доступно для редактирования. По умолчанию не заполнено. В списке выводятся значения из справочника видов биопсии;</w:t>
      </w:r>
    </w:p>
    <w:p>
      <w:pPr>
        <w:numPr>
          <w:ilvl w:val="0"/>
          <w:numId w:val="50"/>
        </w:numPr>
      </w:pPr>
      <w:r>
        <w:rPr>
          <w:color w:val="000000"/>
        </w:rPr>
        <w:t>"Дата первичной биопсии" – п</w:t>
      </w:r>
      <w:r>
        <w:rPr>
          <w:color w:val="000000"/>
        </w:rPr>
        <w:t>оле ввода даты. Доступно для редактирования, если в поле "Биопсия" указано "Повторно". По умолчанию не заполнено;</w:t>
      </w:r>
    </w:p>
    <w:p>
      <w:pPr>
        <w:numPr>
          <w:ilvl w:val="0"/>
          <w:numId w:val="50"/>
        </w:numPr>
      </w:pPr>
      <w:r>
        <w:rPr>
          <w:color w:val="000000"/>
        </w:rPr>
        <w:t>"Номер первичной биопсии" – п</w:t>
      </w:r>
      <w:r>
        <w:rPr>
          <w:color w:val="000000"/>
        </w:rPr>
        <w:t>оле ввода текста. Доступно для редактирования, если в поле "Биопсия" указано "Повторно". По умолчанию не заполнено; </w:t>
      </w:r>
    </w:p>
    <w:p>
      <w:pPr>
        <w:numPr>
          <w:ilvl w:val="0"/>
          <w:numId w:val="50"/>
        </w:numPr>
      </w:pPr>
      <w:r>
        <w:rPr>
          <w:color w:val="000000"/>
        </w:rPr>
        <w:t>"Дата операции (забора материала)" – поле для ввода даты, по умолчанию – текущая дата;</w:t>
      </w:r>
    </w:p>
    <w:p>
      <w:pPr>
        <w:numPr>
          <w:ilvl w:val="0"/>
          <w:numId w:val="50"/>
        </w:numPr>
      </w:pPr>
      <w:r>
        <w:rPr>
          <w:color w:val="000000"/>
        </w:rPr>
        <w:t>"Время операции (забора материала)" – поле ввода времени, по умолчанию – текущее время; </w:t>
      </w:r>
    </w:p>
    <w:p>
      <w:pPr>
        <w:numPr>
          <w:ilvl w:val="0"/>
          <w:numId w:val="51"/>
        </w:numPr>
      </w:pPr>
      <w:r>
        <w:rPr>
          <w:color w:val="000000"/>
        </w:rPr>
        <w:t>"Способ получения материала" – выбирается из выпадающего списка значений из справочника способов получения биопсийного (операционного) материала, по умолчанию не заполнено;</w:t>
      </w:r>
    </w:p>
    <w:p>
      <w:pPr>
        <w:numPr>
          <w:ilvl w:val="0"/>
          <w:numId w:val="51"/>
        </w:numPr>
      </w:pPr>
      <w:r>
        <w:rPr>
          <w:color w:val="000000"/>
        </w:rPr>
        <w:t>"Материал помещен в 10%-ный раствор нейтрального формалина" – п</w:t>
      </w:r>
      <w:r>
        <w:rPr>
          <w:color w:val="000000"/>
        </w:rPr>
        <w:t>оле с выпадающим списком. В списке выводятся значения: "Да", "Нет". Доступно для редактирования. По умолчанию не заполнено.</w:t>
      </w:r>
    </w:p>
    <w:tbl>
      <w:tblPr>
        <w:tblStyle w:val="ScrollNote"/>
        <w:tblW w:w="5000" w:type="pct"/>
        <w:tblLook w:val="0180"/>
      </w:tblPr>
      <w:tblGrid>
        <w:gridCol w:w="8477"/>
      </w:tblGrid>
      <w:tr>
        <w:tblPrEx>
          <w:tblW w:w="5000" w:type="pct"/>
          <w:tblLook w:val="0180"/>
        </w:tblPrEx>
        <w:tc>
          <w:tcPr/>
          <w:p>
            <w:pPr>
              <w:spacing w:before="0" w:beforeAutospacing="0" w:after="0" w:afterAutospacing="0" w:line="240" w:lineRule="auto"/>
              <w:ind w:left="173" w:right="259" w:firstLine="0"/>
              <w:jc w:val="left"/>
              <w:outlineLvl w:val="9"/>
            </w:pPr>
            <w:r>
              <w:rPr>
                <w:b/>
                <w:color w:val="000000"/>
              </w:rPr>
              <w:t xml:space="preserve">П р и м е ч а н и е </w:t>
            </w:r>
            <w:r>
              <w:rPr>
                <w:color w:val="000000"/>
              </w:rPr>
              <w:t>– Если диагноз, указанный в направлении, относится к ВИМИС, или пациент стоит на контроле ВИМИС, то должно быть заполнено поле "Способ получения материала" и / или добавлена запись в разделе "Маркировка материала". Если поле не заполнено, то при сохранении отобразится предупреждение: "Для возможности передачи протокола исследования в ВИМИС "Онкология" необходимо заполнить поле &lt;Наименование поля/раздела через запятую&gt;" и кнопки "Отмена" и "Заполнить поле". При нажатии кнопки "Отмена" направление сохраняется. При нажатии кнопки "Заполнить поле" форма остается открытой.</w:t>
            </w:r>
          </w:p>
        </w:tc>
      </w:tr>
    </w:tbl>
    <w:p>
      <w:pPr>
        <w:pStyle w:val="Heading2"/>
      </w:pPr>
      <w:bookmarkStart w:id="12" w:name="scroll-bookmark-7"/>
      <w:bookmarkStart w:id="13" w:name="_Toc256000005"/>
      <w:r>
        <w:t>Раздел "Маркировка материала"</w:t>
      </w:r>
      <w:bookmarkEnd w:id="13"/>
      <w:bookmarkEnd w:id="12"/>
    </w:p>
    <w:p>
      <w:r>
        <w:rPr>
          <w:color w:val="000000"/>
        </w:rPr>
        <w:t>Раздел состоит из списка и панели управления списком.</w:t>
      </w:r>
    </w:p>
    <w:p>
      <w:pPr>
        <w:keepNext/>
        <w:spacing w:beforeAutospacing="1"/>
        <w:jc w:val="center"/>
      </w:pPr>
      <w:r>
        <w:drawing>
          <wp:inline>
            <wp:extent cx="5395595" cy="1124324"/>
            <wp:effectExtent l="19050" t="19050" r="28575" b="19050"/>
            <wp:docPr id="100011" name="" descr="Раздел Маркировка матери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12432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5</w:t>
      </w:r>
      <w:r>
        <w:fldChar w:fldCharType="end"/>
      </w:r>
      <w:r>
        <w:t xml:space="preserve"> Раздел Маркировка материала</w:t>
      </w:r>
    </w:p>
    <w:p/>
    <w:p/>
    <w:p>
      <w:r>
        <w:rPr>
          <w:color w:val="000000"/>
        </w:rPr>
        <w:t>Список содержит поля:</w:t>
      </w:r>
    </w:p>
    <w:p>
      <w:pPr>
        <w:numPr>
          <w:ilvl w:val="0"/>
          <w:numId w:val="52"/>
        </w:numPr>
      </w:pPr>
      <w:r>
        <w:rPr>
          <w:color w:val="000000"/>
        </w:rPr>
        <w:t>"Номер флакона";</w:t>
      </w:r>
    </w:p>
    <w:p>
      <w:pPr>
        <w:numPr>
          <w:ilvl w:val="0"/>
          <w:numId w:val="52"/>
        </w:numPr>
      </w:pPr>
      <w:r>
        <w:rPr>
          <w:color w:val="000000"/>
        </w:rPr>
        <w:t>"Локализация патологического процесса";</w:t>
      </w:r>
    </w:p>
    <w:p>
      <w:pPr>
        <w:numPr>
          <w:ilvl w:val="0"/>
          <w:numId w:val="52"/>
        </w:numPr>
      </w:pPr>
      <w:r>
        <w:rPr>
          <w:color w:val="000000"/>
        </w:rPr>
        <w:t>"Характер патологического процесса";</w:t>
      </w:r>
    </w:p>
    <w:p>
      <w:pPr>
        <w:numPr>
          <w:ilvl w:val="0"/>
          <w:numId w:val="52"/>
        </w:numPr>
      </w:pPr>
      <w:r>
        <w:rPr>
          <w:color w:val="000000"/>
        </w:rPr>
        <w:t>"Количество объектов".</w:t>
      </w:r>
    </w:p>
    <w:p>
      <w:r>
        <w:rPr>
          <w:color w:val="000000"/>
        </w:rPr>
        <w:t>Панель управления содержит следующие кнопки:</w:t>
      </w:r>
    </w:p>
    <w:p>
      <w:pPr>
        <w:numPr>
          <w:ilvl w:val="0"/>
          <w:numId w:val="53"/>
        </w:numPr>
      </w:pPr>
      <w:r>
        <w:rPr>
          <w:color w:val="000000"/>
        </w:rPr>
        <w:t>"Добавить" – при нажатии кнопки открывается форма</w:t>
      </w:r>
      <w:r>
        <w:t xml:space="preserve"> "</w:t>
      </w:r>
      <w:hyperlink w:anchor="scroll-bookmark-8" w:history="1">
        <w:r>
          <w:rPr>
            <w:rStyle w:val="Hyperlink"/>
          </w:rPr>
          <w:t>Маркировка материала</w:t>
        </w:r>
      </w:hyperlink>
      <w:r>
        <w:t xml:space="preserve">" </w:t>
      </w:r>
      <w:r>
        <w:rPr>
          <w:color w:val="000000"/>
        </w:rPr>
        <w:t>в режиме добавления;</w:t>
      </w:r>
    </w:p>
    <w:p>
      <w:pPr>
        <w:numPr>
          <w:ilvl w:val="0"/>
          <w:numId w:val="53"/>
        </w:numPr>
      </w:pPr>
      <w:r>
        <w:rPr>
          <w:color w:val="000000"/>
        </w:rPr>
        <w:t>"Изменить" – при нажатии кнопки открывается форма "Маркировка материала" в режиме редактирования. Кнопка доступна, если в списке выбрана запись;</w:t>
      </w:r>
    </w:p>
    <w:p>
      <w:pPr>
        <w:numPr>
          <w:ilvl w:val="0"/>
          <w:numId w:val="53"/>
        </w:numPr>
      </w:pPr>
      <w:r>
        <w:rPr>
          <w:color w:val="000000"/>
        </w:rPr>
        <w:t>"Просмотреть" – при нажатии кнопки открывается форма "Маркировка материала" в режиме просмотра. Кнопка доступна, если в списке выбрана запись;</w:t>
      </w:r>
    </w:p>
    <w:p>
      <w:pPr>
        <w:numPr>
          <w:ilvl w:val="0"/>
          <w:numId w:val="53"/>
        </w:numPr>
      </w:pPr>
      <w:r>
        <w:rPr>
          <w:color w:val="000000"/>
        </w:rPr>
        <w:t>"Удалить" – при нажатии происходит удаление выбранной записи списка. Кнопка доступна, если в списке выбрана запись;</w:t>
      </w:r>
    </w:p>
    <w:p>
      <w:pPr>
        <w:numPr>
          <w:ilvl w:val="0"/>
          <w:numId w:val="53"/>
        </w:numPr>
      </w:pPr>
      <w:r>
        <w:rPr>
          <w:color w:val="000000"/>
        </w:rPr>
        <w:t>"Печать" – кнопка доступна, если в списке выбрана запись:</w:t>
      </w:r>
    </w:p>
    <w:p>
      <w:pPr>
        <w:numPr>
          <w:ilvl w:val="0"/>
          <w:numId w:val="53"/>
        </w:numPr>
      </w:pPr>
      <w:r>
        <w:rPr>
          <w:color w:val="000000"/>
        </w:rPr>
        <w:t>"</w:t>
      </w:r>
      <w:r>
        <w:rPr>
          <w:color w:val="000000"/>
        </w:rPr>
        <w:t>Печать</w:t>
      </w:r>
      <w:r>
        <w:rPr>
          <w:color w:val="000000"/>
        </w:rPr>
        <w:t>" – п</w:t>
      </w:r>
      <w:r>
        <w:rPr>
          <w:color w:val="000000"/>
        </w:rPr>
        <w:t>ри нажатии выводится на печать выбранная запись списка;</w:t>
      </w:r>
    </w:p>
    <w:p>
      <w:pPr>
        <w:numPr>
          <w:ilvl w:val="0"/>
          <w:numId w:val="53"/>
        </w:numPr>
      </w:pPr>
      <w:r>
        <w:rPr>
          <w:color w:val="000000"/>
        </w:rPr>
        <w:t>"</w:t>
      </w:r>
      <w:r>
        <w:rPr>
          <w:color w:val="000000"/>
        </w:rPr>
        <w:t>Печать всего списка</w:t>
      </w:r>
      <w:r>
        <w:rPr>
          <w:color w:val="000000"/>
        </w:rPr>
        <w:t>" – п</w:t>
      </w:r>
      <w:r>
        <w:rPr>
          <w:color w:val="000000"/>
        </w:rPr>
        <w:t>ри нажатии выводится на печать весь список.</w:t>
      </w:r>
    </w:p>
    <w:p>
      <w:pPr>
        <w:pStyle w:val="Heading2"/>
      </w:pPr>
      <w:bookmarkStart w:id="14" w:name="scroll-bookmark-9"/>
      <w:bookmarkStart w:id="15" w:name="_Toc256000006"/>
      <w:r>
        <w:t>Раздел "Результаты исследований"</w:t>
      </w:r>
      <w:bookmarkEnd w:id="15"/>
      <w:bookmarkEnd w:id="14"/>
    </w:p>
    <w:p>
      <w:r>
        <w:rPr>
          <w:color w:val="000000"/>
        </w:rPr>
        <w:t>По умолчанию раздел свернут. Список заполняется данными из предшествующих протоколов, созданных в Системе.</w:t>
      </w:r>
    </w:p>
    <w:p/>
    <w:p>
      <w:pPr>
        <w:keepNext/>
        <w:spacing w:beforeAutospacing="1"/>
        <w:jc w:val="center"/>
      </w:pPr>
      <w:r>
        <w:drawing>
          <wp:inline>
            <wp:extent cx="5395595" cy="1206169"/>
            <wp:effectExtent l="19050" t="19050" r="28575" b="19050"/>
            <wp:docPr id="100013" name="" descr="Раздел Результаты исследов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20616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6</w:t>
      </w:r>
      <w:r>
        <w:fldChar w:fldCharType="end"/>
      </w:r>
      <w:r>
        <w:t xml:space="preserve"> Раздел Результаты исследований</w:t>
      </w:r>
    </w:p>
    <w:p/>
    <w:p/>
    <w:p>
      <w:r>
        <w:rPr>
          <w:color w:val="000000"/>
        </w:rPr>
        <w:t>Раздел содержит список "Результаты предыдущих прижизненных патолого-анатомических исследований" с набором полей:</w:t>
      </w:r>
    </w:p>
    <w:p>
      <w:pPr>
        <w:numPr>
          <w:ilvl w:val="0"/>
          <w:numId w:val="54"/>
        </w:numPr>
      </w:pPr>
      <w:r>
        <w:rPr>
          <w:color w:val="000000"/>
        </w:rPr>
        <w:t>"Наименование МО";</w:t>
      </w:r>
    </w:p>
    <w:p>
      <w:pPr>
        <w:numPr>
          <w:ilvl w:val="0"/>
          <w:numId w:val="54"/>
        </w:numPr>
      </w:pPr>
      <w:r>
        <w:rPr>
          <w:color w:val="000000"/>
        </w:rPr>
        <w:t>"Дата исследования";</w:t>
      </w:r>
    </w:p>
    <w:p>
      <w:pPr>
        <w:numPr>
          <w:ilvl w:val="0"/>
          <w:numId w:val="54"/>
        </w:numPr>
      </w:pPr>
      <w:r>
        <w:rPr>
          <w:color w:val="000000"/>
        </w:rPr>
        <w:t>"Регистрационный номер";</w:t>
      </w:r>
    </w:p>
    <w:p>
      <w:pPr>
        <w:numPr>
          <w:ilvl w:val="0"/>
          <w:numId w:val="54"/>
        </w:numPr>
      </w:pPr>
      <w:r>
        <w:rPr>
          <w:color w:val="000000"/>
        </w:rPr>
        <w:t>"Заключение".</w:t>
      </w:r>
    </w:p>
    <w:p>
      <w:r>
        <w:rPr>
          <w:color w:val="000000"/>
        </w:rPr>
        <w:t>Список заполняется данными из предшествующих протоколов.</w:t>
      </w:r>
    </w:p>
    <w:p>
      <w:pPr>
        <w:pStyle w:val="Heading1"/>
      </w:pPr>
      <w:bookmarkStart w:id="16" w:name="scroll-bookmark-10"/>
      <w:bookmarkStart w:id="17" w:name="_Toc256000007"/>
      <w:r>
        <w:t>Форма "Маркировка материала"</w:t>
      </w:r>
      <w:bookmarkEnd w:id="17"/>
      <w:bookmarkEnd w:id="16"/>
    </w:p>
    <w:p>
      <w:pPr>
        <w:keepNext/>
        <w:spacing w:beforeAutospacing="1"/>
        <w:jc w:val="center"/>
      </w:pPr>
      <w:r>
        <w:drawing>
          <wp:inline>
            <wp:extent cx="5395595" cy="4039952"/>
            <wp:effectExtent l="19050" t="19050" r="28575" b="19050"/>
            <wp:docPr id="100015" name="" descr="Форма Маркировка матери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039952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7</w:t>
      </w:r>
      <w:r>
        <w:fldChar w:fldCharType="end"/>
      </w:r>
      <w:r>
        <w:t xml:space="preserve"> Форма Маркировка материала</w:t>
      </w:r>
    </w:p>
    <w:p/>
    <w:p>
      <w:r>
        <w:rPr>
          <w:color w:val="000000"/>
        </w:rPr>
        <w:t>Форма открывается при нажатии кнопок "Добавить", "Изменить", "Просмотреть" в разделе "Маркировка материала" формы "Направление на прижизненное патолого-анатомическое исследование биопсийного (операционного) материала".</w:t>
      </w:r>
    </w:p>
    <w:p>
      <w:r>
        <w:rPr>
          <w:color w:val="000000"/>
        </w:rPr>
        <w:t>Форма содержит поля:</w:t>
      </w:r>
    </w:p>
    <w:p>
      <w:pPr>
        <w:numPr>
          <w:ilvl w:val="0"/>
          <w:numId w:val="55"/>
        </w:numPr>
      </w:pPr>
      <w:r>
        <w:rPr>
          <w:color w:val="000000"/>
        </w:rPr>
        <w:t xml:space="preserve">"Номер флакона" – поле обязательно для заполнения, по умолчанию пустое. </w:t>
      </w:r>
      <w:r>
        <w:rPr>
          <w:color w:val="000000"/>
        </w:rPr>
        <w:t>Доступен ввод целых положительных чисел;</w:t>
      </w:r>
    </w:p>
    <w:p>
      <w:pPr>
        <w:numPr>
          <w:ilvl w:val="0"/>
          <w:numId w:val="55"/>
        </w:numPr>
      </w:pPr>
      <w:r>
        <w:rPr>
          <w:color w:val="000000"/>
        </w:rPr>
        <w:t>"Локализация патологического процесса" – п</w:t>
      </w:r>
      <w:r>
        <w:rPr>
          <w:color w:val="000000"/>
        </w:rPr>
        <w:t>оле с выпадающим списком. В списке выводятся значения из справочника анатомических локализаций. Доступно для редактирования. По умолчанию не заполнено;</w:t>
      </w:r>
    </w:p>
    <w:p>
      <w:pPr>
        <w:numPr>
          <w:ilvl w:val="0"/>
          <w:numId w:val="55"/>
        </w:numPr>
      </w:pPr>
      <w:r>
        <w:rPr>
          <w:color w:val="000000"/>
        </w:rPr>
        <w:t>"Характер изменений тканей" – п</w:t>
      </w:r>
      <w:r>
        <w:rPr>
          <w:color w:val="000000"/>
        </w:rPr>
        <w:t>оле с выпадающим списком. В списке выводятся значения из справочника "Характер изменений тканей, непосредственно прилегающих к образованию". Доступно для редактирования. Доступен выбор нескольких значений. По умолчанию не заполнено;</w:t>
      </w:r>
    </w:p>
    <w:p>
      <w:pPr>
        <w:numPr>
          <w:ilvl w:val="0"/>
          <w:numId w:val="55"/>
        </w:numPr>
      </w:pPr>
      <w:r>
        <w:rPr>
          <w:color w:val="000000"/>
        </w:rPr>
        <w:t>"Характер патологического процесса" – п</w:t>
      </w:r>
      <w:r>
        <w:rPr>
          <w:color w:val="000000"/>
        </w:rPr>
        <w:t>оле с выпадающим списком. В списке выводятся значения справочника "Характер патологического процесса". Доступны значения, имеющие в справочнике код НСИ. Доступно для редактирования. По умолчанию не заполнено. Необязательное для заполнения;</w:t>
      </w:r>
    </w:p>
    <w:p>
      <w:pPr>
        <w:numPr>
          <w:ilvl w:val="0"/>
          <w:numId w:val="56"/>
        </w:numPr>
      </w:pPr>
      <w:r>
        <w:rPr>
          <w:color w:val="000000"/>
        </w:rPr>
        <w:t>"Количество объектов" – п</w:t>
      </w:r>
      <w:r>
        <w:rPr>
          <w:color w:val="000000"/>
        </w:rPr>
        <w:t>оле ввода текста. Доступно для редактирования. Доступен ввод целых положительных чисел. По умолчанию установлено значение "1". </w:t>
      </w:r>
    </w:p>
    <w:p>
      <w:pPr>
        <w:numPr>
          <w:ilvl w:val="0"/>
          <w:numId w:val="56"/>
        </w:numPr>
      </w:pPr>
      <w:r>
        <w:rPr>
          <w:color w:val="000000"/>
        </w:rPr>
        <w:t>В блоке "Качественная характеристика биопсируемого образования" расположены следующие поля:</w:t>
      </w:r>
    </w:p>
    <w:p>
      <w:pPr>
        <w:numPr>
          <w:ilvl w:val="0"/>
          <w:numId w:val="56"/>
        </w:numPr>
      </w:pPr>
      <w:r>
        <w:rPr>
          <w:color w:val="000000"/>
        </w:rPr>
        <w:t>"Размер" – п</w:t>
      </w:r>
      <w:r>
        <w:rPr>
          <w:color w:val="000000"/>
        </w:rPr>
        <w:t>оле ввода текста. Доступно для редактирования. По умолчанию не заполнено;</w:t>
      </w:r>
    </w:p>
    <w:p>
      <w:pPr>
        <w:numPr>
          <w:ilvl w:val="0"/>
          <w:numId w:val="56"/>
        </w:numPr>
      </w:pPr>
      <w:r>
        <w:rPr>
          <w:color w:val="000000"/>
        </w:rPr>
        <w:t>"Форма" – п</w:t>
      </w:r>
      <w:r>
        <w:rPr>
          <w:color w:val="000000"/>
        </w:rPr>
        <w:t>оле ввода текста. Доступно для редактирования. По умолчанию не заполнено;</w:t>
      </w:r>
    </w:p>
    <w:p>
      <w:pPr>
        <w:numPr>
          <w:ilvl w:val="0"/>
          <w:numId w:val="56"/>
        </w:numPr>
      </w:pPr>
      <w:r>
        <w:rPr>
          <w:color w:val="000000"/>
        </w:rPr>
        <w:t>"Характер границы" – п</w:t>
      </w:r>
      <w:r>
        <w:rPr>
          <w:color w:val="000000"/>
        </w:rPr>
        <w:t>оле ввода текста. Доступно для редактирования. По умолчанию не заполнено;</w:t>
      </w:r>
    </w:p>
    <w:p>
      <w:pPr>
        <w:numPr>
          <w:ilvl w:val="0"/>
          <w:numId w:val="56"/>
        </w:numPr>
      </w:pPr>
      <w:r>
        <w:rPr>
          <w:color w:val="000000"/>
        </w:rPr>
        <w:t>"Консистенция" – п</w:t>
      </w:r>
      <w:r>
        <w:rPr>
          <w:color w:val="000000"/>
        </w:rPr>
        <w:t>оле ввода текста. Доступно для редактирования. По умолчанию не заполнено;</w:t>
      </w:r>
    </w:p>
    <w:p>
      <w:pPr>
        <w:numPr>
          <w:ilvl w:val="0"/>
          <w:numId w:val="56"/>
        </w:numPr>
      </w:pPr>
      <w:r>
        <w:rPr>
          <w:color w:val="000000"/>
        </w:rPr>
        <w:t>"Цвет кожи над образованием" – п</w:t>
      </w:r>
      <w:r>
        <w:rPr>
          <w:color w:val="000000"/>
        </w:rPr>
        <w:t>оле ввода текста. Доступно для редактирования. По умолчанию не заполнено;</w:t>
      </w:r>
    </w:p>
    <w:p>
      <w:pPr>
        <w:numPr>
          <w:ilvl w:val="0"/>
          <w:numId w:val="56"/>
        </w:numPr>
      </w:pPr>
      <w:r>
        <w:rPr>
          <w:color w:val="000000"/>
        </w:rPr>
        <w:t>"Иные характеристики" – п</w:t>
      </w:r>
      <w:r>
        <w:rPr>
          <w:color w:val="000000"/>
        </w:rPr>
        <w:t>оле ввода текста. Доступно для редактирования. По умолчанию не заполнено.</w:t>
      </w:r>
    </w:p>
    <w:p>
      <w:r>
        <w:rPr>
          <w:color w:val="000000"/>
        </w:rPr>
        <w:t>Форма содержит кнопки:</w:t>
      </w:r>
    </w:p>
    <w:p>
      <w:pPr>
        <w:numPr>
          <w:ilvl w:val="0"/>
          <w:numId w:val="57"/>
        </w:numPr>
      </w:pPr>
      <w:r>
        <w:rPr>
          <w:color w:val="000000"/>
        </w:rPr>
        <w:t>"Сохранить" – при нажатии кнопки данные сохраняются, форма закрывается;</w:t>
      </w:r>
    </w:p>
    <w:p>
      <w:pPr>
        <w:numPr>
          <w:ilvl w:val="0"/>
          <w:numId w:val="58"/>
        </w:numPr>
      </w:pPr>
      <w:r>
        <w:rPr>
          <w:color w:val="000000"/>
        </w:rPr>
        <w:t>"Помощь" – при нажатии открывается справка по текущей форме;</w:t>
      </w:r>
    </w:p>
    <w:p>
      <w:pPr>
        <w:numPr>
          <w:ilvl w:val="0"/>
          <w:numId w:val="58"/>
        </w:numPr>
      </w:pPr>
      <w:r>
        <w:rPr>
          <w:color w:val="000000"/>
        </w:rPr>
        <w:t>"Отмена" – при нажатии форма закрывается, сохранение не происходит.</w:t>
      </w:r>
    </w:p>
    <w:p>
      <w:pPr>
        <w:pStyle w:val="Heading1"/>
      </w:pPr>
      <w:bookmarkStart w:id="18" w:name="scroll-bookmark-11"/>
      <w:bookmarkStart w:id="19" w:name="_Toc256000008"/>
      <w:r>
        <w:t>Печатная форма № 014/у "Направление на прижизненное патолого-анатомическое исследование биопсийного (операционного) материала"</w:t>
      </w:r>
      <w:bookmarkEnd w:id="19"/>
      <w:bookmarkEnd w:id="18"/>
    </w:p>
    <w:p>
      <w:pPr>
        <w:jc w:val="center"/>
      </w:pPr>
      <w:r>
        <w:rPr>
          <w:color w:val="000000"/>
        </w:rPr>
        <w:drawing>
          <wp:inline>
            <wp:extent cx="5395595" cy="7616199"/>
            <wp:effectExtent l="19050" t="19050" r="28575" b="19050"/>
            <wp:docPr id="100017" name="" descr="_scroll_external/attachments/snimok-ekrana-2024-01-17-v-16-40-08-f51f57902795e145e8ff3cb8bc597745421ded5c09df69e2053bce5948a3e0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761619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r>
        <w:rPr>
          <w:color w:val="000000"/>
        </w:rPr>
        <w:t>Печатная форма открывается:</w:t>
      </w:r>
    </w:p>
    <w:p>
      <w:pPr>
        <w:numPr>
          <w:ilvl w:val="0"/>
          <w:numId w:val="59"/>
        </w:numPr>
      </w:pPr>
      <w:r>
        <w:rPr>
          <w:color w:val="000000"/>
        </w:rPr>
        <w:t>при нажатии кнопки "Печать направления" на панели управления списком форм "</w:t>
      </w:r>
      <w:hyperlink r:id="rId27" w:history="1">
        <w:r>
          <w:rPr>
            <w:rStyle w:val="Hyperlink"/>
          </w:rPr>
          <w:t>Журнал протоколов прижизненных патолого-анатомических исследований биопсийного (операционного) материала</w:t>
        </w:r>
      </w:hyperlink>
      <w:r>
        <w:t>" и "</w:t>
      </w:r>
      <w:hyperlink r:id="rId14" w:history="1">
        <w:r>
          <w:rPr>
            <w:rStyle w:val="Hyperlink"/>
          </w:rPr>
          <w:t>Журнал направлений на прижизненное патолого-анатомическое исследование биопсийного (операционного) материала</w:t>
        </w:r>
      </w:hyperlink>
      <w:r>
        <w:t>";</w:t>
      </w:r>
    </w:p>
    <w:p>
      <w:pPr>
        <w:numPr>
          <w:ilvl w:val="0"/>
          <w:numId w:val="59"/>
        </w:numPr>
      </w:pPr>
      <w:r>
        <w:rPr>
          <w:color w:val="000000"/>
        </w:rPr>
        <w:t>при нажатии кнопки "Печать" на форме "</w:t>
      </w:r>
      <w:hyperlink w:anchor="scroll-bookmark-1" w:history="1">
        <w:r>
          <w:rPr>
            <w:rStyle w:val="Hyperlink"/>
          </w:rPr>
          <w:t>Направление на прижизненное патолого-анатомическое исследование биопсийного (операционного) материала. Добавление</w:t>
        </w:r>
      </w:hyperlink>
      <w:r>
        <w:t>".</w:t>
      </w:r>
    </w:p>
    <w:sectPr w:rsidSect="008B1C6A">
      <w:footerReference w:type="default" r:id="rId28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P="00D8012A" w14:paraId="2949098E" w14:textId="77777777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221BC" w:rsidP="00D8012A" w14:paraId="720055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RPr="00910A82" w:rsidP="00910A82" w14:paraId="57AFF96D" w14:textId="60BB4141">
    <w:pPr>
      <w:pStyle w:val="Footer"/>
    </w:pPr>
    <w:r w:rsidRPr="00910A82">
      <w:t>Table of Contents</w:t>
    </w:r>
    <w:r w:rsidRPr="00910A82" w:rsidR="0099728D">
      <w:t xml:space="preserve"> </w:t>
    </w:r>
    <w:r w:rsidRPr="00910A82" w:rsidR="00F021C2">
      <w:t xml:space="preserve">– </w:t>
    </w:r>
    <w:r w:rsidRPr="00910A82" w:rsidR="00F021C2">
      <w:fldChar w:fldCharType="begin"/>
    </w:r>
    <w:r w:rsidRPr="00910A82" w:rsidR="00F021C2">
      <w:instrText xml:space="preserve"> PAGE  \* MERGEFORMAT </w:instrText>
    </w:r>
    <w:r w:rsidRPr="00910A82" w:rsidR="00F021C2">
      <w:fldChar w:fldCharType="separate"/>
    </w:r>
    <w:r w:rsidR="00091F1E">
      <w:rPr>
        <w:noProof/>
      </w:rPr>
      <w:t>2</w:t>
    </w:r>
    <w:r w:rsidRPr="00910A82" w:rsidR="00F021C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694EDD6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A82" w:rsidRPr="00D8012A" w:rsidP="00D8012A" w14:paraId="59123AE0" w14:textId="033515A7">
    <w:pPr>
      <w:pStyle w:val="Footer"/>
    </w:pPr>
    <w:r>
      <w:fldChar w:fldCharType="begin"/>
    </w:r>
    <w:r>
      <w:instrText xml:space="preserve"> STYLEREF "Heading 1" </w:instrText>
    </w:r>
    <w:r>
      <w:fldChar w:fldCharType="separate"/>
    </w:r>
    <w:r>
      <w:t>Печатная форма № 014/у "Направление на прижизненное патолого-анатомическое исследование биопсийного (операционного) материала"</w:t>
    </w:r>
    <w:r>
      <w:rPr>
        <w:noProof/>
      </w:rPr>
      <w:fldChar w:fldCharType="end"/>
    </w:r>
    <w:r w:rsidRPr="00DF63C1">
      <w:t xml:space="preserve"> – </w:t>
    </w: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 w:rsidR="00091F1E">
      <w:rPr>
        <w:noProof/>
      </w:rPr>
      <w:t>15</w:t>
    </w:r>
    <w:r w:rsidRPr="00D8012A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3EDA70D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21BC" w:rsidRPr="004E4DAA" w:rsidP="004E4DAA" w14:paraId="0F646B39" w14:textId="19E8D967">
    <w:pPr>
      <w:pStyle w:val="Header"/>
      <w:jc w:val="right"/>
      <w:rPr>
        <w:sz w:val="18"/>
        <w:szCs w:val="18"/>
      </w:rPr>
    </w:pPr>
    <w:r w:rsidRPr="009D3DE2">
      <w:rPr>
        <w:sz w:val="18"/>
        <w:szCs w:val="18"/>
      </w:rPr>
      <w:t>Справочная информация ЕЦП</w:t>
    </w:r>
    <w:r w:rsidRPr="009D3DE2">
      <w:rPr>
        <w:sz w:val="18"/>
        <w:szCs w:val="18"/>
      </w:rPr>
      <w:t xml:space="preserve"> – </w:t>
    </w:r>
    <w:r w:rsidRPr="009D3DE2">
      <w:rPr>
        <w:sz w:val="18"/>
        <w:szCs w:val="18"/>
      </w:rPr>
      <w:t>Направление на прижизненное патолого-анатомическое исследование биопсийного (операционного) материала. Добавление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7CE3" w14:paraId="58D817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8AE27FCE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486A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CD640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3109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BBAF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08E5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5AAB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8CB0A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DAE5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3C0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A021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8474A8"/>
    <w:multiLevelType w:val="multilevel"/>
    <w:tmpl w:val="7E76F97A"/>
    <w:numStyleLink w:val="111111"/>
  </w:abstractNum>
  <w:abstractNum w:abstractNumId="12">
    <w:nsid w:val="2DCE6AE3"/>
    <w:multiLevelType w:val="hybridMultilevel"/>
    <w:tmpl w:val="47A60034"/>
    <w:lvl w:ilvl="0">
      <w:start w:val="0"/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152DC"/>
    <w:multiLevelType w:val="multilevel"/>
    <w:tmpl w:val="5604585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>
    <w:nsid w:val="4BA53E42"/>
    <w:multiLevelType w:val="hybridMultilevel"/>
    <w:tmpl w:val="FBFA5712"/>
    <w:lvl w:ilvl="0">
      <w:start w:val="0"/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DF627B5"/>
    <w:multiLevelType w:val="hybridMultilevel"/>
    <w:tmpl w:val="7DF627B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>
    <w:nsid w:val="7DF627B6"/>
    <w:multiLevelType w:val="hybridMultilevel"/>
    <w:tmpl w:val="7DF62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DF627C8"/>
    <w:multiLevelType w:val="hybridMultilevel"/>
    <w:tmpl w:val="7DF627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F627CC"/>
    <w:multiLevelType w:val="hybridMultilevel"/>
    <w:tmpl w:val="7DF627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>
    <w:nsid w:val="7DF627CD"/>
    <w:multiLevelType w:val="hybridMultilevel"/>
    <w:tmpl w:val="7DF627C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>
    <w:nsid w:val="7DF627CE"/>
    <w:multiLevelType w:val="hybridMultilevel"/>
    <w:tmpl w:val="7DF6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>
    <w:nsid w:val="7DF627CF"/>
    <w:multiLevelType w:val="hybridMultilevel"/>
    <w:tmpl w:val="7DF627C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7DF627D0"/>
    <w:multiLevelType w:val="hybridMultilevel"/>
    <w:tmpl w:val="7DF6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>
    <w:nsid w:val="7DF627D1"/>
    <w:multiLevelType w:val="hybridMultilevel"/>
    <w:tmpl w:val="7DF627D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>
    <w:nsid w:val="7DF627D2"/>
    <w:multiLevelType w:val="hybridMultilevel"/>
    <w:tmpl w:val="7DF6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7DF627D3"/>
    <w:multiLevelType w:val="hybridMultilevel"/>
    <w:tmpl w:val="7DF627D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7DF627D4"/>
    <w:multiLevelType w:val="hybridMultilevel"/>
    <w:tmpl w:val="7DF6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>
    <w:nsid w:val="7DF627D5"/>
    <w:multiLevelType w:val="hybridMultilevel"/>
    <w:tmpl w:val="7DF627D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>
    <w:nsid w:val="7DF627D6"/>
    <w:multiLevelType w:val="hybridMultilevel"/>
    <w:tmpl w:val="7DF6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>
    <w:nsid w:val="7DF627D7"/>
    <w:multiLevelType w:val="hybridMultilevel"/>
    <w:tmpl w:val="7DF627D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>
    <w:nsid w:val="7DF627D8"/>
    <w:multiLevelType w:val="hybridMultilevel"/>
    <w:tmpl w:val="7DF6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>
    <w:nsid w:val="7DF627D9"/>
    <w:multiLevelType w:val="hybridMultilevel"/>
    <w:tmpl w:val="7DF627D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7DF627DA"/>
    <w:multiLevelType w:val="hybridMultilevel"/>
    <w:tmpl w:val="7DF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7DF627DB"/>
    <w:multiLevelType w:val="hybridMultilevel"/>
    <w:tmpl w:val="7DF627D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">
    <w:nsid w:val="7DF627DC"/>
    <w:multiLevelType w:val="hybridMultilevel"/>
    <w:tmpl w:val="7DF6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>
    <w:nsid w:val="7DF627DD"/>
    <w:multiLevelType w:val="hybridMultilevel"/>
    <w:tmpl w:val="7DF627D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>
    <w:nsid w:val="7DF627DE"/>
    <w:multiLevelType w:val="hybridMultilevel"/>
    <w:tmpl w:val="7DF6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">
    <w:nsid w:val="7DF627DF"/>
    <w:multiLevelType w:val="hybridMultilevel"/>
    <w:tmpl w:val="7DF627D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">
    <w:nsid w:val="7DF627E0"/>
    <w:multiLevelType w:val="hybridMultilevel"/>
    <w:tmpl w:val="7DF6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7DF627E1"/>
    <w:multiLevelType w:val="hybridMultilevel"/>
    <w:tmpl w:val="7DF627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7DF627E2"/>
    <w:multiLevelType w:val="hybridMultilevel"/>
    <w:tmpl w:val="7DF6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3">
    <w:nsid w:val="7DF627E3"/>
    <w:multiLevelType w:val="hybridMultilevel"/>
    <w:tmpl w:val="7DF627E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>
    <w:nsid w:val="7DF627E4"/>
    <w:multiLevelType w:val="hybridMultilevel"/>
    <w:tmpl w:val="7DF6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5">
    <w:nsid w:val="7DF627E5"/>
    <w:multiLevelType w:val="hybridMultilevel"/>
    <w:tmpl w:val="7DF627E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6">
    <w:nsid w:val="7DF627E6"/>
    <w:multiLevelType w:val="hybridMultilevel"/>
    <w:tmpl w:val="7DF6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7">
    <w:nsid w:val="7DF627E7"/>
    <w:multiLevelType w:val="hybridMultilevel"/>
    <w:tmpl w:val="7DF627E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7DF627E8"/>
    <w:multiLevelType w:val="hybridMultilevel"/>
    <w:tmpl w:val="7DF6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1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10"/>
  </w:num>
  <w:num w:numId="27">
    <w:abstractNumId w:val="14"/>
  </w:num>
  <w:num w:numId="28">
    <w:abstractNumId w:val="12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1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42947"/>
    <w:rsid w:val="00053BAB"/>
    <w:rsid w:val="00055224"/>
    <w:rsid w:val="00091F1E"/>
    <w:rsid w:val="000B1C98"/>
    <w:rsid w:val="000D499C"/>
    <w:rsid w:val="000E57ED"/>
    <w:rsid w:val="00102A51"/>
    <w:rsid w:val="0013593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201B47"/>
    <w:rsid w:val="0021001B"/>
    <w:rsid w:val="0021544B"/>
    <w:rsid w:val="00220E40"/>
    <w:rsid w:val="00225F28"/>
    <w:rsid w:val="00232F89"/>
    <w:rsid w:val="00236273"/>
    <w:rsid w:val="0025070E"/>
    <w:rsid w:val="0025115E"/>
    <w:rsid w:val="0025541B"/>
    <w:rsid w:val="00274AC0"/>
    <w:rsid w:val="00294EE2"/>
    <w:rsid w:val="002B48D8"/>
    <w:rsid w:val="002D0E23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4C42"/>
    <w:rsid w:val="00425E40"/>
    <w:rsid w:val="004266BE"/>
    <w:rsid w:val="00446192"/>
    <w:rsid w:val="00452C6E"/>
    <w:rsid w:val="00462D65"/>
    <w:rsid w:val="00481948"/>
    <w:rsid w:val="00483DC6"/>
    <w:rsid w:val="004934CB"/>
    <w:rsid w:val="004B5047"/>
    <w:rsid w:val="004B5FCD"/>
    <w:rsid w:val="004D4905"/>
    <w:rsid w:val="004E4DAA"/>
    <w:rsid w:val="00506961"/>
    <w:rsid w:val="00531B81"/>
    <w:rsid w:val="005540AD"/>
    <w:rsid w:val="00562E3B"/>
    <w:rsid w:val="00577554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40789"/>
    <w:rsid w:val="007A372C"/>
    <w:rsid w:val="007A76AB"/>
    <w:rsid w:val="007C5657"/>
    <w:rsid w:val="007D06AE"/>
    <w:rsid w:val="007F209D"/>
    <w:rsid w:val="007F3748"/>
    <w:rsid w:val="00831334"/>
    <w:rsid w:val="00837A0D"/>
    <w:rsid w:val="00852D83"/>
    <w:rsid w:val="0087617C"/>
    <w:rsid w:val="008964A9"/>
    <w:rsid w:val="008B1C6A"/>
    <w:rsid w:val="008B564A"/>
    <w:rsid w:val="008B7020"/>
    <w:rsid w:val="008C0E6C"/>
    <w:rsid w:val="008D309B"/>
    <w:rsid w:val="008F4EAC"/>
    <w:rsid w:val="00910A82"/>
    <w:rsid w:val="00920E8C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6F31"/>
    <w:rsid w:val="00A46A1E"/>
    <w:rsid w:val="00A91702"/>
    <w:rsid w:val="00AB3248"/>
    <w:rsid w:val="00AB6BA6"/>
    <w:rsid w:val="00AC2DD1"/>
    <w:rsid w:val="00AE2366"/>
    <w:rsid w:val="00AF4DB6"/>
    <w:rsid w:val="00B21CB4"/>
    <w:rsid w:val="00B5616C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F0B4F"/>
    <w:rsid w:val="00D10529"/>
    <w:rsid w:val="00D34F85"/>
    <w:rsid w:val="00D450BE"/>
    <w:rsid w:val="00D63938"/>
    <w:rsid w:val="00D706C6"/>
    <w:rsid w:val="00D8012A"/>
    <w:rsid w:val="00D841F2"/>
    <w:rsid w:val="00DA0F23"/>
    <w:rsid w:val="00DB77B3"/>
    <w:rsid w:val="00DC1789"/>
    <w:rsid w:val="00DE5251"/>
    <w:rsid w:val="00DE72F4"/>
    <w:rsid w:val="00DF2776"/>
    <w:rsid w:val="00DF63C1"/>
    <w:rsid w:val="00E221BC"/>
    <w:rsid w:val="00E244B5"/>
    <w:rsid w:val="00E666A5"/>
    <w:rsid w:val="00EA4AC4"/>
    <w:rsid w:val="00EB34FD"/>
    <w:rsid w:val="00EB7A17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dispDef m:val="0"/>
    <m:wrapRight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8193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Normal">
    <w:name w:val="Normal"/>
    <w:qFormat/>
    <w:rsid w:val="00E244B5"/>
    <w:pPr>
      <w:spacing w:after="120"/>
    </w:pPr>
  </w:style>
  <w:style w:type="paragraph" w:styleId="Heading1">
    <w:name w:val="heading 1"/>
    <w:basedOn w:val="Normal"/>
    <w:next w:val="Normal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Heading5">
    <w:name w:val="heading 5"/>
    <w:basedOn w:val="Normal"/>
    <w:next w:val="Normal"/>
    <w:link w:val="Heading5Char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Heading8">
    <w:name w:val="heading 8"/>
    <w:basedOn w:val="Normal"/>
    <w:next w:val="Normal"/>
    <w:link w:val="Heading8Char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Hyperlink">
    <w:name w:val="Hyperlink"/>
    <w:basedOn w:val="DefaultParagraphFont"/>
    <w:uiPriority w:val="99"/>
    <w:rsid w:val="00EF7B96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805BCE"/>
    <w:rPr>
      <w:b/>
      <w:bCs/>
      <w:szCs w:val="20"/>
    </w:rPr>
  </w:style>
  <w:style w:type="paragraph" w:styleId="Header">
    <w:name w:val="header"/>
    <w:basedOn w:val="Normal"/>
    <w:link w:val="HeaderChar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2378C"/>
    <w:rPr>
      <w:rFonts w:ascii="Arial" w:hAnsi="Arial"/>
      <w:sz w:val="20"/>
    </w:rPr>
  </w:style>
  <w:style w:type="paragraph" w:styleId="Footer">
    <w:name w:val="footer"/>
    <w:basedOn w:val="Normal"/>
    <w:link w:val="FooterChar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DF63C1"/>
    <w:rPr>
      <w:rFonts w:ascii="Arial" w:hAnsi="Arial"/>
      <w:sz w:val="18"/>
    </w:rPr>
  </w:style>
  <w:style w:type="character" w:styleId="PageNumber">
    <w:name w:val="page number"/>
    <w:basedOn w:val="DefaultParagraphFont"/>
    <w:rsid w:val="0082378C"/>
    <w:rPr>
      <w:rFonts w:ascii="Arial" w:hAnsi="Arial"/>
      <w:sz w:val="20"/>
    </w:rPr>
  </w:style>
  <w:style w:type="table" w:styleId="TableGrid">
    <w:name w:val="Table Grid"/>
    <w:basedOn w:val="TableNormal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TOC3"/>
    <w:next w:val="Normal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TOC2">
    <w:name w:val="toc 2"/>
    <w:basedOn w:val="TOC1"/>
    <w:next w:val="Normal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TOC3">
    <w:name w:val="toc 3"/>
    <w:basedOn w:val="Normal"/>
    <w:next w:val="Normal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TOC4">
    <w:name w:val="toc 4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TOC5">
    <w:name w:val="toc 5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TOC6">
    <w:name w:val="toc 6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TOC7">
    <w:name w:val="toc 7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TOC8">
    <w:name w:val="toc 8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TOC9">
    <w:name w:val="toc 9"/>
    <w:basedOn w:val="Normal"/>
    <w:next w:val="Normal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DocumentMap">
    <w:name w:val="Document Map"/>
    <w:basedOn w:val="Normal"/>
    <w:link w:val="DocumentMapChar"/>
    <w:rsid w:val="00552316"/>
    <w:pPr>
      <w:spacing w:after="0"/>
    </w:pPr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552316"/>
    <w:rPr>
      <w:rFonts w:ascii="Lucida Grande" w:hAnsi="Lucida Grande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374AF9"/>
    <w:rPr>
      <w:rFonts w:ascii="Source Sans Pro" w:hAnsi="Source Sans Pro" w:eastAsiaTheme="majorEastAsia" w:cstheme="majorBidi"/>
      <w:iCs/>
      <w:color w:val="595959" w:themeColor="text1" w:themeTint="A6"/>
      <w:sz w:val="20"/>
    </w:rPr>
  </w:style>
  <w:style w:type="character" w:customStyle="1" w:styleId="Heading5Char">
    <w:name w:val="Heading 5 Char"/>
    <w:basedOn w:val="DefaultParagraphFont"/>
    <w:link w:val="Heading5"/>
    <w:rsid w:val="00236273"/>
    <w:rPr>
      <w:rFonts w:ascii="Source Sans Pro" w:hAnsi="Source Sans Pro" w:eastAsiaTheme="majorEastAsia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TableNormal"/>
    <w:uiPriority w:val="99"/>
    <w:rsid w:val="00E868FB"/>
    <w:tblPr/>
  </w:style>
  <w:style w:type="table" w:customStyle="1" w:styleId="ScrollTip">
    <w:name w:val="Scroll Tip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TableNormal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TableNormal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TableNormal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TableNormal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TableNormal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PlainText">
    <w:name w:val="Plain Text"/>
    <w:basedOn w:val="Normal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Title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236273"/>
    <w:rPr>
      <w:rFonts w:ascii="Source Sans Pro" w:hAnsi="Source Sans Pro" w:eastAsiaTheme="majorEastAsia" w:cstheme="majorBidi"/>
      <w:color w:val="7F7F7F" w:themeColor="text1" w:themeTint="80"/>
      <w:sz w:val="20"/>
      <w:szCs w:val="21"/>
    </w:rPr>
  </w:style>
  <w:style w:type="character" w:styleId="IntenseEmphasis">
    <w:name w:val="Intense Emphasis"/>
    <w:basedOn w:val="DefaultParagraphFont"/>
    <w:rsid w:val="00831334"/>
    <w:rPr>
      <w:i/>
      <w:iCs/>
      <w:color w:val="7F7F7F" w:themeColor="text1" w:themeTint="80"/>
    </w:rPr>
  </w:style>
  <w:style w:type="paragraph" w:styleId="IntenseQuote">
    <w:name w:val="Intense Quote"/>
    <w:basedOn w:val="Normal"/>
    <w:next w:val="Normal"/>
    <w:link w:val="IntenseQuoteChar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IntenseQuoteChar">
    <w:name w:val="Intense Quote Char"/>
    <w:basedOn w:val="DefaultParagraphFont"/>
    <w:link w:val="IntenseQuote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IntenseReference">
    <w:name w:val="Intense Reference"/>
    <w:basedOn w:val="DefaultParagraphFont"/>
    <w:rsid w:val="00831334"/>
    <w:rPr>
      <w:b/>
      <w:bCs/>
      <w:smallCaps/>
      <w:color w:val="7F7F7F" w:themeColor="text1" w:themeTint="80"/>
      <w:spacing w:val="5"/>
    </w:rPr>
  </w:style>
  <w:style w:type="table" w:styleId="PlainTable1">
    <w:name w:val="Plain Table 1"/>
    <w:basedOn w:val="TableNormal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TableNormal"/>
    <w:uiPriority w:val="99"/>
    <w:rsid w:val="003111A7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yperlink" Target="https://wiki.is-mis.ru/pages/viewpage.action?pageId=57247521" TargetMode="External" /><Relationship Id="rId12" Type="http://schemas.openxmlformats.org/officeDocument/2006/relationships/hyperlink" Target="https://wiki.is-mis.ru/pages/viewpage.action?pageId=57247467" TargetMode="External" /><Relationship Id="rId13" Type="http://schemas.openxmlformats.org/officeDocument/2006/relationships/hyperlink" Target="https://wiki.is-mis.ru/pages/viewpage.action?pageId=89621484" TargetMode="External" /><Relationship Id="rId14" Type="http://schemas.openxmlformats.org/officeDocument/2006/relationships/hyperlink" Target="https://wiki.is-mis.ru/pages/viewpage.action?pageId=57256508" TargetMode="External" /><Relationship Id="rId15" Type="http://schemas.openxmlformats.org/officeDocument/2006/relationships/hyperlink" Target="https://wiki.is-mis.ru/pages/viewpage.action?pageId=89621717" TargetMode="External" /><Relationship Id="rId16" Type="http://schemas.openxmlformats.org/officeDocument/2006/relationships/image" Target="media/image1.png" /><Relationship Id="rId17" Type="http://schemas.openxmlformats.org/officeDocument/2006/relationships/image" Target="media/image2.png" /><Relationship Id="rId18" Type="http://schemas.openxmlformats.org/officeDocument/2006/relationships/hyperlink" Target="https://wiki.is-mis.ru/pages/viewpage.action?pageId=57249981" TargetMode="External" /><Relationship Id="rId19" Type="http://schemas.openxmlformats.org/officeDocument/2006/relationships/hyperlink" Target="https://wiki.is-mis.ru/pages/viewpage.action?pageId=57255967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3.png" /><Relationship Id="rId21" Type="http://schemas.openxmlformats.org/officeDocument/2006/relationships/image" Target="media/image4.png" /><Relationship Id="rId22" Type="http://schemas.openxmlformats.org/officeDocument/2006/relationships/image" Target="media/image5.png" /><Relationship Id="rId23" Type="http://schemas.openxmlformats.org/officeDocument/2006/relationships/image" Target="media/image6.png" /><Relationship Id="rId24" Type="http://schemas.openxmlformats.org/officeDocument/2006/relationships/image" Target="media/image7.png" /><Relationship Id="rId25" Type="http://schemas.openxmlformats.org/officeDocument/2006/relationships/image" Target="media/image8.png" /><Relationship Id="rId26" Type="http://schemas.openxmlformats.org/officeDocument/2006/relationships/image" Target="media/image9.png" /><Relationship Id="rId27" Type="http://schemas.openxmlformats.org/officeDocument/2006/relationships/hyperlink" Target="https://wiki.is-mis.ru/pages/viewpage.action?pageId=57256511" TargetMode="External" /><Relationship Id="rId28" Type="http://schemas.openxmlformats.org/officeDocument/2006/relationships/footer" Target="footer4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0DE4E-47B1-5042-802E-7CE92683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15</Pages>
  <Words>45</Words>
  <Characters>418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Apps 2</cp:lastModifiedBy>
  <cp:revision>111</cp:revision>
  <dcterms:created xsi:type="dcterms:W3CDTF">2016-10-04T14:03:00Z</dcterms:created>
  <dcterms:modified xsi:type="dcterms:W3CDTF">2021-07-12T13:38:00Z</dcterms:modified>
</cp:coreProperties>
</file>